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553A" w14:textId="3DA88730" w:rsidR="00C43574" w:rsidRDefault="00FC7803">
      <w:bookmarkStart w:id="0" w:name="_GoBack"/>
      <w:bookmarkEnd w:id="0"/>
      <w:r>
        <w:rPr>
          <w:noProof/>
        </w:rPr>
        <w:drawing>
          <wp:anchor distT="0" distB="0" distL="114300" distR="114300" simplePos="0" relativeHeight="251659264" behindDoc="0" locked="0" layoutInCell="1" allowOverlap="1" wp14:anchorId="0F1E4008" wp14:editId="487A0DF5">
            <wp:simplePos x="0" y="0"/>
            <wp:positionH relativeFrom="rightMargin">
              <wp:align>left</wp:align>
            </wp:positionH>
            <wp:positionV relativeFrom="paragraph">
              <wp:posOffset>-46990</wp:posOffset>
            </wp:positionV>
            <wp:extent cx="1942465" cy="1942465"/>
            <wp:effectExtent l="0" t="0" r="635" b="635"/>
            <wp:wrapNone/>
            <wp:docPr id="2" name="irc_mi" descr="http://www.iwight.com/azservices/images/3028-Best-Practic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wight.com/azservices/images/3028-Best-Practice.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2465" cy="1942465"/>
                    </a:xfrm>
                    <a:prstGeom prst="rect">
                      <a:avLst/>
                    </a:prstGeom>
                    <a:noFill/>
                  </pic:spPr>
                </pic:pic>
              </a:graphicData>
            </a:graphic>
            <wp14:sizeRelH relativeFrom="page">
              <wp14:pctWidth>0</wp14:pctWidth>
            </wp14:sizeRelH>
            <wp14:sizeRelV relativeFrom="page">
              <wp14:pctHeight>0</wp14:pctHeight>
            </wp14:sizeRelV>
          </wp:anchor>
        </w:drawing>
      </w:r>
    </w:p>
    <w:p w14:paraId="53D4743A" w14:textId="6C34B8F5" w:rsidR="00C43574" w:rsidRDefault="00C43574"/>
    <w:p w14:paraId="187BACF7" w14:textId="26B6F496" w:rsidR="00C43574" w:rsidRDefault="00C43574"/>
    <w:p w14:paraId="5BA735AD" w14:textId="432EAEE5" w:rsidR="00C43574" w:rsidRDefault="00C43574">
      <w:r>
        <w:t xml:space="preserve">Deze lijst bevat </w:t>
      </w:r>
      <w:r w:rsidR="00E2052B">
        <w:t>‘</w:t>
      </w:r>
      <w:r>
        <w:t>best practices</w:t>
      </w:r>
      <w:r w:rsidR="00E2052B">
        <w:t>’</w:t>
      </w:r>
      <w:r>
        <w:t xml:space="preserve"> waar een gemeente haar voordeel mee kan doen bij de uitvoering van haar wettelijke taak </w:t>
      </w:r>
      <w:r w:rsidR="000363FB">
        <w:t xml:space="preserve">in de Huisvestingswet 2014 om </w:t>
      </w:r>
      <w:r w:rsidRPr="00C43574">
        <w:t xml:space="preserve">zorg </w:t>
      </w:r>
      <w:r w:rsidR="000363FB">
        <w:t xml:space="preserve">te dragen </w:t>
      </w:r>
      <w:r w:rsidRPr="00C43574">
        <w:t>voor de voorziening in de huisvesting van vergunninghouders in de gemeente overeenkomstig de voor de gemeente geldende taakstelling.</w:t>
      </w:r>
      <w:r w:rsidR="00EE3DCE">
        <w:t xml:space="preserve"> De lijst wordt </w:t>
      </w:r>
      <w:r w:rsidR="001F0928">
        <w:t xml:space="preserve">periodiek besproken in het IPO Platform Huisvesting Vluchtelingen (PHV) en </w:t>
      </w:r>
      <w:r w:rsidR="00EE3DCE">
        <w:t>regelmatig aangevuld met nieuwe voorbeelden.</w:t>
      </w:r>
      <w:r w:rsidR="00FC7803">
        <w:t xml:space="preserve"> </w:t>
      </w:r>
      <w:r w:rsidR="001F0928">
        <w:t>De lijst is o</w:t>
      </w:r>
      <w:r w:rsidR="00BB5C19">
        <w:t>nderverdeeld in de kopjes: Algemeen, Alleenstaanden, Grote gezinnen en Medisch.</w:t>
      </w:r>
      <w:r w:rsidR="00F53EA3">
        <w:t xml:space="preserve"> De Bijlage bevat een Stappenplan voor gemeenten die de wens hebben tot herverdeling taakstelling huisvesting vergunninghouders.</w:t>
      </w:r>
    </w:p>
    <w:p w14:paraId="38C325A9" w14:textId="77777777" w:rsidR="00C43574" w:rsidRDefault="00C43574"/>
    <w:p w14:paraId="318888E1" w14:textId="77777777" w:rsidR="006B710A" w:rsidRPr="002615A3" w:rsidRDefault="006B710A">
      <w:pPr>
        <w:rPr>
          <w:u w:val="single"/>
        </w:rPr>
      </w:pPr>
      <w:r w:rsidRPr="002615A3">
        <w:rPr>
          <w:u w:val="single"/>
        </w:rPr>
        <w:t>Algemeen</w:t>
      </w:r>
    </w:p>
    <w:p w14:paraId="656FCBC7" w14:textId="77777777" w:rsidR="002615A3" w:rsidRDefault="002615A3" w:rsidP="002615A3"/>
    <w:p w14:paraId="0CE9843D" w14:textId="77777777" w:rsidR="002615A3" w:rsidRDefault="002615A3" w:rsidP="002615A3">
      <w:pPr>
        <w:ind w:left="705" w:hanging="705"/>
      </w:pPr>
      <w:r>
        <w:t>1.</w:t>
      </w:r>
      <w:r>
        <w:tab/>
        <w:t xml:space="preserve">Zorg voor blijvende </w:t>
      </w:r>
      <w:r w:rsidRPr="002615A3">
        <w:rPr>
          <w:b/>
        </w:rPr>
        <w:t>bestuurlijke aandacht</w:t>
      </w:r>
      <w:r>
        <w:t xml:space="preserve"> voor realisatie huisvesting waaronder monitoring van de voortgang.</w:t>
      </w:r>
    </w:p>
    <w:p w14:paraId="7582BDB2" w14:textId="77777777" w:rsidR="002615A3" w:rsidRDefault="002615A3" w:rsidP="002615A3"/>
    <w:p w14:paraId="33B455F1" w14:textId="77777777" w:rsidR="002615A3" w:rsidRDefault="002615A3" w:rsidP="002615A3">
      <w:pPr>
        <w:ind w:left="705" w:hanging="705"/>
      </w:pPr>
      <w:r>
        <w:t xml:space="preserve">2. </w:t>
      </w:r>
      <w:r>
        <w:tab/>
        <w:t xml:space="preserve">Stel een </w:t>
      </w:r>
      <w:r w:rsidRPr="002615A3">
        <w:rPr>
          <w:b/>
        </w:rPr>
        <w:t>Huisvestingsverordening</w:t>
      </w:r>
      <w:r>
        <w:t xml:space="preserve"> vast voor het sturen op woonruimteverdeling en voorrang voor o.a. vergunninghouders. Monitor de naleving door de woningbouwcorporaties en spreek elkaar zo nodig daarop aan. </w:t>
      </w:r>
    </w:p>
    <w:p w14:paraId="2851D731" w14:textId="77777777" w:rsidR="002615A3" w:rsidRDefault="002615A3" w:rsidP="002615A3">
      <w:pPr>
        <w:ind w:left="705" w:hanging="705"/>
      </w:pPr>
    </w:p>
    <w:p w14:paraId="66B94811" w14:textId="77777777" w:rsidR="002615A3" w:rsidRDefault="002615A3" w:rsidP="002615A3">
      <w:pPr>
        <w:ind w:left="705" w:hanging="705"/>
      </w:pPr>
      <w:r>
        <w:t xml:space="preserve">3. </w:t>
      </w:r>
      <w:r>
        <w:tab/>
        <w:t xml:space="preserve">Maak </w:t>
      </w:r>
      <w:r w:rsidRPr="002615A3">
        <w:rPr>
          <w:b/>
        </w:rPr>
        <w:t>prestatieafspraken</w:t>
      </w:r>
      <w:r>
        <w:t xml:space="preserve"> met woningbouwcorporaties over huisvesting vergunninghouders. Monitor de naleving en spreek elkaar zo nodig daarop aan.</w:t>
      </w:r>
    </w:p>
    <w:p w14:paraId="6D0EA923" w14:textId="77777777" w:rsidR="002615A3" w:rsidRDefault="002615A3" w:rsidP="002615A3"/>
    <w:p w14:paraId="667B924F" w14:textId="5703DE78" w:rsidR="002615A3" w:rsidRPr="003F493B" w:rsidRDefault="002615A3" w:rsidP="002615A3">
      <w:pPr>
        <w:ind w:left="705" w:hanging="705"/>
      </w:pPr>
      <w:r w:rsidRPr="003F493B">
        <w:t xml:space="preserve">3. </w:t>
      </w:r>
      <w:r w:rsidRPr="003F493B">
        <w:tab/>
        <w:t xml:space="preserve">Betrek naast het aanbod van de woningbouwcorporaties ook </w:t>
      </w:r>
      <w:r w:rsidRPr="002615A3">
        <w:rPr>
          <w:b/>
        </w:rPr>
        <w:t>ander woningaanbod</w:t>
      </w:r>
      <w:r w:rsidRPr="003F493B">
        <w:t xml:space="preserve"> zoals particuliere verhuur</w:t>
      </w:r>
      <w:r>
        <w:t>.</w:t>
      </w:r>
    </w:p>
    <w:p w14:paraId="2DA8BE70" w14:textId="77777777" w:rsidR="002615A3" w:rsidRDefault="002615A3" w:rsidP="002615A3"/>
    <w:p w14:paraId="3D9E8B15" w14:textId="5ABCDC10" w:rsidR="002615A3" w:rsidRDefault="002615A3" w:rsidP="002615A3">
      <w:pPr>
        <w:ind w:left="705" w:hanging="705"/>
      </w:pPr>
      <w:r>
        <w:t xml:space="preserve">4. </w:t>
      </w:r>
      <w:r>
        <w:tab/>
        <w:t xml:space="preserve">Onderzoek </w:t>
      </w:r>
      <w:r w:rsidRPr="002615A3">
        <w:rPr>
          <w:b/>
        </w:rPr>
        <w:t>alternatieve woonvormen</w:t>
      </w:r>
      <w:r>
        <w:t xml:space="preserve"> zoals leegstaand vastgoed (bijv. kantoren, scholen of verzorgingshuizen) die geschikt zijn of kunnen worden gemaakt voor huisvesting. Maak gebruik van deskundigen met praktijkervaring en een financieel rekenmodel zoals:</w:t>
      </w:r>
    </w:p>
    <w:p w14:paraId="064A678B" w14:textId="77777777" w:rsidR="002615A3" w:rsidRDefault="00862600" w:rsidP="002615A3">
      <w:pPr>
        <w:ind w:left="705"/>
      </w:pPr>
      <w:hyperlink r:id="rId10" w:history="1">
        <w:r w:rsidR="002615A3" w:rsidRPr="00136D56">
          <w:rPr>
            <w:rStyle w:val="Hyperlink"/>
          </w:rPr>
          <w:t>http://www.transformatieteam.nl/</w:t>
        </w:r>
      </w:hyperlink>
      <w:r w:rsidR="002615A3">
        <w:t xml:space="preserve"> </w:t>
      </w:r>
    </w:p>
    <w:p w14:paraId="6F72FAD6" w14:textId="77777777" w:rsidR="002615A3" w:rsidRDefault="002615A3" w:rsidP="002615A3">
      <w:pPr>
        <w:ind w:left="705"/>
      </w:pPr>
    </w:p>
    <w:p w14:paraId="141F95FA" w14:textId="3DA27923" w:rsidR="002615A3" w:rsidRDefault="00862600" w:rsidP="004E1C00">
      <w:pPr>
        <w:ind w:left="705"/>
      </w:pPr>
      <w:hyperlink r:id="rId11" w:history="1">
        <w:r w:rsidR="00A92DE8" w:rsidRPr="00A6392B">
          <w:rPr>
            <w:rStyle w:val="Hyperlink"/>
          </w:rPr>
          <w:t>https://www.platform31.nl/wat-we-doen/kennisdossiers/kennisdossier-vergunninghouders-en-asiel</w:t>
        </w:r>
      </w:hyperlink>
    </w:p>
    <w:p w14:paraId="7EDED29F" w14:textId="77777777" w:rsidR="004E1C00" w:rsidRDefault="004E1C00" w:rsidP="002615A3"/>
    <w:p w14:paraId="1AC947A1" w14:textId="77777777" w:rsidR="002615A3" w:rsidRDefault="00862600" w:rsidP="002615A3">
      <w:pPr>
        <w:ind w:left="705"/>
      </w:pPr>
      <w:hyperlink r:id="rId12" w:history="1">
        <w:r w:rsidR="002615A3" w:rsidRPr="00A521A9">
          <w:rPr>
            <w:rStyle w:val="Hyperlink"/>
          </w:rPr>
          <w:t>https://www.gemeentenvandetoekomst.nl/</w:t>
        </w:r>
      </w:hyperlink>
    </w:p>
    <w:p w14:paraId="36CD9A9E" w14:textId="77777777" w:rsidR="002615A3" w:rsidRDefault="002615A3" w:rsidP="002615A3">
      <w:pPr>
        <w:ind w:left="705" w:hanging="705"/>
      </w:pPr>
    </w:p>
    <w:p w14:paraId="08B182E8" w14:textId="77777777" w:rsidR="002615A3" w:rsidRDefault="00862600" w:rsidP="002615A3">
      <w:pPr>
        <w:ind w:left="705"/>
        <w:rPr>
          <w:rStyle w:val="Hyperlink"/>
        </w:rPr>
      </w:pPr>
      <w:hyperlink r:id="rId13" w:history="1">
        <w:r w:rsidR="002615A3" w:rsidRPr="009772BE">
          <w:rPr>
            <w:rStyle w:val="Hyperlink"/>
          </w:rPr>
          <w:t>https://acvz.org/</w:t>
        </w:r>
      </w:hyperlink>
    </w:p>
    <w:p w14:paraId="1CF7BA27" w14:textId="77777777" w:rsidR="002615A3" w:rsidRDefault="002615A3" w:rsidP="002615A3">
      <w:pPr>
        <w:ind w:left="705"/>
        <w:rPr>
          <w:rStyle w:val="Hyperlink"/>
        </w:rPr>
      </w:pPr>
    </w:p>
    <w:p w14:paraId="66AD22A9" w14:textId="77777777" w:rsidR="002615A3" w:rsidRDefault="00862600" w:rsidP="002615A3">
      <w:pPr>
        <w:ind w:left="705"/>
      </w:pPr>
      <w:hyperlink r:id="rId14" w:history="1">
        <w:r w:rsidR="002615A3" w:rsidRPr="00C7136A">
          <w:rPr>
            <w:rStyle w:val="Hyperlink"/>
          </w:rPr>
          <w:t>https://www.platform31.nl/publicaties/de-magix-mix-de-update</w:t>
        </w:r>
      </w:hyperlink>
      <w:r w:rsidR="002615A3">
        <w:t xml:space="preserve"> </w:t>
      </w:r>
    </w:p>
    <w:p w14:paraId="1B17ABF3" w14:textId="77777777" w:rsidR="002615A3" w:rsidRDefault="002615A3" w:rsidP="002615A3">
      <w:pPr>
        <w:ind w:left="705" w:hanging="705"/>
      </w:pPr>
    </w:p>
    <w:p w14:paraId="762C5B19" w14:textId="0E28AA2B" w:rsidR="002615A3" w:rsidRDefault="00633172" w:rsidP="002615A3">
      <w:pPr>
        <w:ind w:left="705" w:hanging="705"/>
      </w:pPr>
      <w:r>
        <w:t>5</w:t>
      </w:r>
      <w:r w:rsidR="002615A3">
        <w:t xml:space="preserve">. </w:t>
      </w:r>
      <w:r w:rsidR="002615A3">
        <w:tab/>
      </w:r>
      <w:r w:rsidR="002615A3" w:rsidRPr="00E478AD">
        <w:t xml:space="preserve">Maak afspraken met </w:t>
      </w:r>
      <w:r w:rsidRPr="00633172">
        <w:rPr>
          <w:b/>
        </w:rPr>
        <w:t>twee</w:t>
      </w:r>
      <w:r w:rsidR="002615A3" w:rsidRPr="00633172">
        <w:rPr>
          <w:b/>
        </w:rPr>
        <w:t xml:space="preserve"> of meer gemeenten of in regionaal verband</w:t>
      </w:r>
      <w:r w:rsidR="002615A3">
        <w:t xml:space="preserve"> </w:t>
      </w:r>
      <w:r w:rsidR="002615A3" w:rsidRPr="00E478AD">
        <w:t>om elkaar te helpen bij realisatie van de opgelegde taakstelling</w:t>
      </w:r>
      <w:r w:rsidR="002615A3">
        <w:t xml:space="preserve"> door:</w:t>
      </w:r>
    </w:p>
    <w:p w14:paraId="1EAFB569" w14:textId="77777777" w:rsidR="002615A3" w:rsidRPr="00ED046A" w:rsidRDefault="002615A3" w:rsidP="002615A3">
      <w:pPr>
        <w:pStyle w:val="Lijstalinea"/>
        <w:numPr>
          <w:ilvl w:val="0"/>
          <w:numId w:val="7"/>
        </w:numPr>
        <w:rPr>
          <w:rFonts w:ascii="Futura Book" w:hAnsi="Futura Book"/>
          <w:sz w:val="20"/>
          <w:szCs w:val="20"/>
        </w:rPr>
      </w:pPr>
      <w:r w:rsidRPr="00ED046A">
        <w:rPr>
          <w:rFonts w:ascii="Futura Book" w:hAnsi="Futura Book"/>
          <w:sz w:val="20"/>
          <w:szCs w:val="20"/>
        </w:rPr>
        <w:t xml:space="preserve">Gezamenlijk te bezien welke woningen in welke gemeenten beschikbaar zijn in relatie tot de gekoppelde vergunninghouders te bezien  </w:t>
      </w:r>
    </w:p>
    <w:p w14:paraId="55CF4334" w14:textId="77777777" w:rsidR="002615A3" w:rsidRDefault="002615A3" w:rsidP="002615A3">
      <w:pPr>
        <w:pStyle w:val="Lijstalinea"/>
        <w:numPr>
          <w:ilvl w:val="0"/>
          <w:numId w:val="7"/>
        </w:numPr>
      </w:pPr>
      <w:r w:rsidRPr="00ED046A">
        <w:rPr>
          <w:rFonts w:ascii="Futura Book" w:hAnsi="Futura Book"/>
          <w:sz w:val="20"/>
          <w:szCs w:val="20"/>
        </w:rPr>
        <w:t>herverdeling van de taakstelling (zie bijlage Stappenplan).</w:t>
      </w:r>
    </w:p>
    <w:p w14:paraId="0B51F55D" w14:textId="77777777" w:rsidR="002615A3" w:rsidRDefault="002615A3" w:rsidP="002615A3"/>
    <w:p w14:paraId="1A3018FF" w14:textId="2441D1A5" w:rsidR="002615A3" w:rsidRDefault="00633172" w:rsidP="002615A3">
      <w:pPr>
        <w:ind w:left="705" w:hanging="705"/>
      </w:pPr>
      <w:r>
        <w:t>6</w:t>
      </w:r>
      <w:r w:rsidR="002615A3">
        <w:t xml:space="preserve">. </w:t>
      </w:r>
      <w:r w:rsidR="002615A3">
        <w:tab/>
      </w:r>
      <w:r w:rsidR="002615A3" w:rsidRPr="00F14F70">
        <w:rPr>
          <w:b/>
        </w:rPr>
        <w:t>Breng</w:t>
      </w:r>
      <w:r w:rsidR="002615A3">
        <w:t xml:space="preserve"> </w:t>
      </w:r>
      <w:r w:rsidR="002615A3" w:rsidRPr="00F52563">
        <w:t>de beschikbare hoeveelheid woningen in de sociale woningmarkt</w:t>
      </w:r>
      <w:r w:rsidR="002615A3">
        <w:t xml:space="preserve"> regionaal </w:t>
      </w:r>
      <w:r w:rsidR="002615A3" w:rsidRPr="00F14F70">
        <w:rPr>
          <w:b/>
        </w:rPr>
        <w:t>in kaart</w:t>
      </w:r>
      <w:r w:rsidR="002615A3">
        <w:t xml:space="preserve"> en houdt daar zicht op. Vraag de corporatie ook naar de mutatiegraad en het aantal woningen in hun bezit. Dat geeft inzicht in hoeveel woningen er vrijkomen in relatie tot het aantal benodigde woningen voor huisvesting vergunninghouders.</w:t>
      </w:r>
    </w:p>
    <w:p w14:paraId="423B9D04" w14:textId="77777777" w:rsidR="002615A3" w:rsidRDefault="002615A3" w:rsidP="002615A3"/>
    <w:p w14:paraId="04038D01" w14:textId="71C35A6D" w:rsidR="002615A3" w:rsidRDefault="00F14F70" w:rsidP="002615A3">
      <w:pPr>
        <w:ind w:left="705" w:hanging="705"/>
      </w:pPr>
      <w:r>
        <w:t>7</w:t>
      </w:r>
      <w:r w:rsidR="002615A3">
        <w:t>.</w:t>
      </w:r>
      <w:r w:rsidR="002615A3">
        <w:tab/>
        <w:t xml:space="preserve">Organiseer </w:t>
      </w:r>
      <w:r w:rsidR="002615A3" w:rsidRPr="00F14F70">
        <w:rPr>
          <w:b/>
        </w:rPr>
        <w:t>periodiek regionaal overleg</w:t>
      </w:r>
      <w:r w:rsidR="002615A3">
        <w:t xml:space="preserve"> met gemeenten, COA, woningbouwcorporaties, Vluchtelingenwerk en provincie over optimalisering van het huisvestingsproces.</w:t>
      </w:r>
    </w:p>
    <w:p w14:paraId="17451E15" w14:textId="77777777" w:rsidR="002615A3" w:rsidRDefault="002615A3" w:rsidP="002615A3">
      <w:pPr>
        <w:ind w:left="705" w:hanging="705"/>
      </w:pPr>
    </w:p>
    <w:p w14:paraId="519FC061" w14:textId="62A84914" w:rsidR="002615A3" w:rsidRDefault="00F14F70" w:rsidP="002615A3">
      <w:pPr>
        <w:ind w:left="705" w:hanging="705"/>
      </w:pPr>
      <w:r>
        <w:t>8</w:t>
      </w:r>
      <w:r w:rsidR="002615A3">
        <w:t>.</w:t>
      </w:r>
      <w:r w:rsidR="002615A3">
        <w:tab/>
        <w:t xml:space="preserve">Bespreek met de woningcorporatie de haalbaarheid van het </w:t>
      </w:r>
      <w:r w:rsidR="002615A3" w:rsidRPr="00F14F70">
        <w:rPr>
          <w:b/>
        </w:rPr>
        <w:t>ombouwen</w:t>
      </w:r>
      <w:r w:rsidR="002615A3">
        <w:t xml:space="preserve"> van bestaande grote woningen naar kleine woningen of meerdere kamers.</w:t>
      </w:r>
    </w:p>
    <w:p w14:paraId="78A41E47" w14:textId="77777777" w:rsidR="002615A3" w:rsidRDefault="002615A3" w:rsidP="002615A3">
      <w:pPr>
        <w:ind w:left="705" w:hanging="705"/>
      </w:pPr>
      <w:r>
        <w:tab/>
        <w:t xml:space="preserve"> </w:t>
      </w:r>
    </w:p>
    <w:p w14:paraId="4B2A9037" w14:textId="4DCFFDD6" w:rsidR="002615A3" w:rsidRDefault="00F14F70" w:rsidP="002615A3">
      <w:pPr>
        <w:ind w:left="705" w:hanging="705"/>
      </w:pPr>
      <w:r>
        <w:t>9</w:t>
      </w:r>
      <w:r w:rsidR="002615A3">
        <w:t>.</w:t>
      </w:r>
      <w:r w:rsidR="002615A3">
        <w:tab/>
        <w:t xml:space="preserve">Stuur z.s.m. </w:t>
      </w:r>
      <w:r w:rsidR="002615A3" w:rsidRPr="00F14F70">
        <w:rPr>
          <w:b/>
        </w:rPr>
        <w:t>huurcontracten</w:t>
      </w:r>
      <w:r w:rsidR="002615A3">
        <w:t xml:space="preserve"> naar het COA. Dit betekent dat de vergunninghouders ook zo spoedig mogelijk als gehuisvest worden geregistreerd. Verder wordt daardoor ook de aanvraag van belastingtoeslagen geregeld. Tijdig aanvragen van </w:t>
      </w:r>
      <w:r w:rsidR="002615A3" w:rsidRPr="00AC53E9">
        <w:t xml:space="preserve">huur- en zorgtoeslag </w:t>
      </w:r>
      <w:r w:rsidR="002615A3">
        <w:t>draagt bij aan het feit dat vergunninghouders niet starten met schulden.</w:t>
      </w:r>
    </w:p>
    <w:p w14:paraId="3AEB62BA" w14:textId="77777777" w:rsidR="002615A3" w:rsidRDefault="002615A3" w:rsidP="002615A3">
      <w:pPr>
        <w:ind w:left="705"/>
      </w:pPr>
    </w:p>
    <w:p w14:paraId="73373DC1" w14:textId="7FA02A4E" w:rsidR="002615A3" w:rsidRDefault="00F14F70" w:rsidP="002615A3">
      <w:pPr>
        <w:ind w:left="705" w:hanging="705"/>
      </w:pPr>
      <w:r>
        <w:t>10</w:t>
      </w:r>
      <w:r w:rsidR="002615A3" w:rsidRPr="00D130D0">
        <w:t>.</w:t>
      </w:r>
      <w:r w:rsidR="002615A3" w:rsidRPr="00D130D0">
        <w:tab/>
      </w:r>
      <w:r w:rsidR="00DD1638">
        <w:t xml:space="preserve">Onderzoek </w:t>
      </w:r>
      <w:r w:rsidR="002615A3" w:rsidRPr="00D130D0">
        <w:t xml:space="preserve">de mogelijkheden van de </w:t>
      </w:r>
      <w:r w:rsidR="002615A3" w:rsidRPr="009B2D7B">
        <w:rPr>
          <w:b/>
        </w:rPr>
        <w:t>Leegstandwet</w:t>
      </w:r>
      <w:r w:rsidR="002615A3" w:rsidRPr="00D130D0">
        <w:t>. Zoals tijdelijk gebruik van slooppanden. Of het aanbieden van een huurovereenkomst.</w:t>
      </w:r>
      <w:r w:rsidR="002615A3" w:rsidRPr="00C10C95">
        <w:t xml:space="preserve"> Daarvoor moet de gemeente vergunning geven en dat kan voor woonruimte in een leegstaand gebouw voor een periode van maximaal 10 jaar, gekoppeld aan de omgevingsvergunning. Bij woningen die gesloopt of gerenoveerd </w:t>
      </w:r>
      <w:r w:rsidR="002615A3" w:rsidRPr="00C10C95">
        <w:lastRenderedPageBreak/>
        <w:t>worden maximaal 2+5 jaar. Bij verhuur onder de Leegstandwet geldt de normale huurbescherming uit het BW niet.</w:t>
      </w:r>
    </w:p>
    <w:p w14:paraId="2948FA31" w14:textId="77777777" w:rsidR="002615A3" w:rsidRDefault="002615A3" w:rsidP="002615A3">
      <w:pPr>
        <w:ind w:left="705"/>
      </w:pPr>
    </w:p>
    <w:p w14:paraId="41D339EC" w14:textId="6582B0A8" w:rsidR="002615A3" w:rsidRDefault="00F14F70" w:rsidP="00F14F70">
      <w:pPr>
        <w:ind w:left="705" w:hanging="705"/>
      </w:pPr>
      <w:r>
        <w:t>11</w:t>
      </w:r>
      <w:r w:rsidR="002615A3">
        <w:t>.</w:t>
      </w:r>
      <w:r w:rsidR="002615A3">
        <w:tab/>
        <w:t xml:space="preserve">Koppel woningen aan een </w:t>
      </w:r>
      <w:r w:rsidR="002615A3" w:rsidRPr="00F14F70">
        <w:rPr>
          <w:b/>
        </w:rPr>
        <w:t>leer- werktraject</w:t>
      </w:r>
      <w:r w:rsidR="002615A3">
        <w:t>.</w:t>
      </w:r>
      <w:r>
        <w:t xml:space="preserve"> </w:t>
      </w:r>
      <w:r w:rsidR="002615A3">
        <w:t>Bijvoorbeeld vergunninghouders die een kamer huren in een verzorgingshuis kunnen tevens leren hoe ze ouderen verzorgen</w:t>
      </w:r>
      <w:r w:rsidR="002615A3" w:rsidRPr="00D130D0">
        <w:t>.</w:t>
      </w:r>
    </w:p>
    <w:p w14:paraId="5F61EEAB" w14:textId="77777777" w:rsidR="002615A3" w:rsidRDefault="002615A3" w:rsidP="002615A3">
      <w:pPr>
        <w:ind w:left="705"/>
      </w:pPr>
    </w:p>
    <w:p w14:paraId="4B0E1174" w14:textId="408634F9" w:rsidR="002615A3" w:rsidRPr="00447BBF" w:rsidRDefault="00F14F70" w:rsidP="002615A3">
      <w:pPr>
        <w:ind w:left="705" w:hanging="705"/>
        <w:rPr>
          <w:color w:val="0000FF" w:themeColor="hyperlink"/>
          <w:u w:val="single"/>
        </w:rPr>
      </w:pPr>
      <w:r>
        <w:t>12</w:t>
      </w:r>
      <w:r w:rsidR="002615A3">
        <w:t>.</w:t>
      </w:r>
      <w:r w:rsidR="002615A3">
        <w:tab/>
        <w:t>Maak gebruik van d</w:t>
      </w:r>
      <w:r w:rsidR="002615A3" w:rsidRPr="00634277">
        <w:t xml:space="preserve">e factsheets, praktijkvoorbeelden en andere ondersteuningsproducten die het </w:t>
      </w:r>
      <w:r w:rsidR="002615A3" w:rsidRPr="00F14F70">
        <w:rPr>
          <w:b/>
        </w:rPr>
        <w:t>programma Ondersteunings</w:t>
      </w:r>
      <w:r w:rsidR="00FC7803">
        <w:rPr>
          <w:b/>
        </w:rPr>
        <w:t xml:space="preserve"> </w:t>
      </w:r>
      <w:r w:rsidR="002615A3" w:rsidRPr="00F14F70">
        <w:rPr>
          <w:b/>
        </w:rPr>
        <w:t>Team Asielzoekers en Vergunninghouders (OTAV)</w:t>
      </w:r>
      <w:r w:rsidR="002615A3" w:rsidRPr="00634277">
        <w:t xml:space="preserve"> heeft opgeleverd</w:t>
      </w:r>
      <w:r w:rsidR="002615A3">
        <w:t xml:space="preserve">. Meer informatie: </w:t>
      </w:r>
      <w:hyperlink r:id="rId15" w:history="1">
        <w:r w:rsidR="002615A3" w:rsidRPr="003E5BFD">
          <w:rPr>
            <w:rStyle w:val="Hyperlink"/>
          </w:rPr>
          <w:t>https://vng.nl/ondersteuning-en-advies-asiel-otav</w:t>
        </w:r>
      </w:hyperlink>
    </w:p>
    <w:p w14:paraId="75C0683A" w14:textId="77777777" w:rsidR="002615A3" w:rsidRDefault="002615A3" w:rsidP="002615A3">
      <w:pPr>
        <w:ind w:left="705" w:hanging="705"/>
      </w:pPr>
    </w:p>
    <w:p w14:paraId="716B7825" w14:textId="117D5BDE" w:rsidR="002615A3" w:rsidRDefault="00F14F70" w:rsidP="002615A3">
      <w:pPr>
        <w:ind w:left="705" w:hanging="705"/>
      </w:pPr>
      <w:r>
        <w:t>13</w:t>
      </w:r>
      <w:r w:rsidR="002615A3">
        <w:t>.</w:t>
      </w:r>
      <w:r w:rsidR="002615A3">
        <w:tab/>
        <w:t xml:space="preserve">Overweeg om gebruik te maken van het concept </w:t>
      </w:r>
      <w:r w:rsidR="002615A3" w:rsidRPr="00F14F70">
        <w:rPr>
          <w:b/>
        </w:rPr>
        <w:t>Flexwonen</w:t>
      </w:r>
      <w:r w:rsidR="002615A3">
        <w:t>. Meer informatie:</w:t>
      </w:r>
    </w:p>
    <w:p w14:paraId="42ED260B" w14:textId="77777777" w:rsidR="002615A3" w:rsidRDefault="002615A3" w:rsidP="002615A3">
      <w:pPr>
        <w:ind w:left="705" w:hanging="705"/>
      </w:pPr>
      <w:r>
        <w:t>•</w:t>
      </w:r>
      <w:r>
        <w:tab/>
      </w:r>
      <w:hyperlink r:id="rId16" w:history="1">
        <w:r w:rsidRPr="00805ADD">
          <w:rPr>
            <w:rStyle w:val="Hyperlink"/>
          </w:rPr>
          <w:t>https://flexwonen.nl/impressie-congres-flexwonen-in-zuid-holland-14-juni-2018/</w:t>
        </w:r>
      </w:hyperlink>
      <w:r>
        <w:t xml:space="preserve"> </w:t>
      </w:r>
    </w:p>
    <w:p w14:paraId="1ED93E8D" w14:textId="77777777" w:rsidR="002615A3" w:rsidRDefault="002615A3" w:rsidP="002615A3">
      <w:pPr>
        <w:ind w:left="705" w:hanging="705"/>
      </w:pPr>
      <w:r>
        <w:t>•</w:t>
      </w:r>
      <w:r>
        <w:tab/>
      </w:r>
      <w:hyperlink r:id="rId17" w:history="1">
        <w:r w:rsidRPr="00805ADD">
          <w:rPr>
            <w:rStyle w:val="Hyperlink"/>
          </w:rPr>
          <w:t>https://www.platform31.nl/nieuws/impressie-conferentie-flexwonen-in-zuid-holland</w:t>
        </w:r>
      </w:hyperlink>
      <w:r>
        <w:t xml:space="preserve"> </w:t>
      </w:r>
    </w:p>
    <w:p w14:paraId="0F4176CD" w14:textId="524C5A2F" w:rsidR="002615A3" w:rsidRDefault="002615A3" w:rsidP="002615A3">
      <w:pPr>
        <w:ind w:left="705" w:hanging="705"/>
      </w:pPr>
      <w:r>
        <w:t>•</w:t>
      </w:r>
      <w:r>
        <w:tab/>
      </w:r>
      <w:hyperlink r:id="rId18" w:history="1">
        <w:r w:rsidR="00A92DE8" w:rsidRPr="00A6392B">
          <w:rPr>
            <w:rStyle w:val="Hyperlink"/>
          </w:rPr>
          <w:t>https://inbetweenplaces.nl/</w:t>
        </w:r>
      </w:hyperlink>
      <w:r w:rsidR="00A92DE8">
        <w:t xml:space="preserve"> </w:t>
      </w:r>
    </w:p>
    <w:p w14:paraId="5D774633" w14:textId="77777777" w:rsidR="002615A3" w:rsidRDefault="002615A3" w:rsidP="002615A3">
      <w:pPr>
        <w:ind w:left="705" w:hanging="705"/>
      </w:pPr>
    </w:p>
    <w:p w14:paraId="43CD076A" w14:textId="7A170818" w:rsidR="002615A3" w:rsidRDefault="00F14F70" w:rsidP="002615A3">
      <w:pPr>
        <w:ind w:left="705" w:hanging="705"/>
      </w:pPr>
      <w:r>
        <w:t>14.</w:t>
      </w:r>
      <w:r w:rsidR="002615A3">
        <w:tab/>
        <w:t xml:space="preserve">Overweeg de inzet van een </w:t>
      </w:r>
      <w:r w:rsidR="002615A3" w:rsidRPr="00F14F70">
        <w:rPr>
          <w:b/>
        </w:rPr>
        <w:t xml:space="preserve">verhuiscoördinator </w:t>
      </w:r>
      <w:r w:rsidR="002615A3" w:rsidRPr="00F14F70">
        <w:t>voor ouderen</w:t>
      </w:r>
      <w:r w:rsidR="002615A3">
        <w:t xml:space="preserve"> die nog in een grote woning wonen en die willen verhuizen naar een meer bij hun leeftijd en gezinssamenstelling passende woning (doorverhuizen van empty nesters).</w:t>
      </w:r>
    </w:p>
    <w:p w14:paraId="2BA25523" w14:textId="77777777" w:rsidR="002615A3" w:rsidRDefault="002615A3" w:rsidP="002615A3">
      <w:pPr>
        <w:spacing w:line="260" w:lineRule="exact"/>
        <w:rPr>
          <w:bCs/>
        </w:rPr>
      </w:pPr>
    </w:p>
    <w:p w14:paraId="0DA8DB36" w14:textId="252884D2" w:rsidR="002615A3" w:rsidRDefault="00F14F70" w:rsidP="00F14F70">
      <w:pPr>
        <w:spacing w:line="260" w:lineRule="exact"/>
        <w:ind w:left="705" w:hanging="705"/>
        <w:rPr>
          <w:color w:val="000000"/>
        </w:rPr>
      </w:pPr>
      <w:r>
        <w:rPr>
          <w:bCs/>
        </w:rPr>
        <w:t>15</w:t>
      </w:r>
      <w:r w:rsidR="002615A3" w:rsidRPr="00ED046A">
        <w:rPr>
          <w:bCs/>
        </w:rPr>
        <w:t xml:space="preserve">. </w:t>
      </w:r>
      <w:r w:rsidR="002615A3">
        <w:rPr>
          <w:bCs/>
        </w:rPr>
        <w:tab/>
        <w:t xml:space="preserve">Maak gebruik van de mogelijkheid om </w:t>
      </w:r>
      <w:r w:rsidR="002615A3">
        <w:t xml:space="preserve">in te tekenen op het huisvesten van </w:t>
      </w:r>
      <w:r w:rsidR="002615A3" w:rsidRPr="00F14F70">
        <w:rPr>
          <w:b/>
        </w:rPr>
        <w:t>hervestigers</w:t>
      </w:r>
      <w:r w:rsidR="002615A3">
        <w:t>. Voordeel: meer regie op omvang en gezinssamenstelling van te huisvesten vergunninghouders en minder afhankelijk van koppelingen door de regievoerder. Meer informatie: Regievoerder Hervestiging en Uitstroom</w:t>
      </w:r>
      <w:r w:rsidR="00CA3A34">
        <w:t>:</w:t>
      </w:r>
      <w:r w:rsidR="002615A3">
        <w:t xml:space="preserve"> </w:t>
      </w:r>
      <w:r w:rsidR="00CA3A34" w:rsidRPr="00CA3A34">
        <w:t xml:space="preserve">Vincent Witlox, </w:t>
      </w:r>
      <w:hyperlink r:id="rId19" w:history="1">
        <w:r w:rsidR="00CA3A34" w:rsidRPr="00A6392B">
          <w:rPr>
            <w:rStyle w:val="Hyperlink"/>
          </w:rPr>
          <w:t>vincentwitlox@coa.nl</w:t>
        </w:r>
      </w:hyperlink>
      <w:r w:rsidR="00CA3A34">
        <w:t xml:space="preserve"> </w:t>
      </w:r>
    </w:p>
    <w:p w14:paraId="5DF7FA53" w14:textId="77777777" w:rsidR="006B710A" w:rsidRDefault="006B710A"/>
    <w:p w14:paraId="0D4B3326" w14:textId="77777777" w:rsidR="006B710A" w:rsidRPr="00F14F70" w:rsidRDefault="006B710A">
      <w:pPr>
        <w:rPr>
          <w:u w:val="single"/>
        </w:rPr>
      </w:pPr>
      <w:r w:rsidRPr="00F14F70">
        <w:rPr>
          <w:u w:val="single"/>
        </w:rPr>
        <w:t>Specifiek alleenstaanden</w:t>
      </w:r>
    </w:p>
    <w:p w14:paraId="3A367FBB" w14:textId="77777777" w:rsidR="00B81584" w:rsidRPr="003F493B" w:rsidRDefault="00B81584" w:rsidP="00B81584"/>
    <w:p w14:paraId="57CEF283" w14:textId="31ACDB7E" w:rsidR="00B81584" w:rsidRDefault="00F14F70" w:rsidP="00B81584">
      <w:pPr>
        <w:ind w:left="705" w:hanging="705"/>
      </w:pPr>
      <w:r>
        <w:t>1</w:t>
      </w:r>
      <w:r w:rsidR="00B81584" w:rsidRPr="003F493B">
        <w:t xml:space="preserve">. </w:t>
      </w:r>
      <w:r w:rsidR="00B81584" w:rsidRPr="003F493B">
        <w:tab/>
        <w:t>Maak gebruik van een “</w:t>
      </w:r>
      <w:r w:rsidR="00B81584" w:rsidRPr="00F14F70">
        <w:rPr>
          <w:b/>
        </w:rPr>
        <w:t>doorschuifwoning</w:t>
      </w:r>
      <w:r w:rsidR="00B81584" w:rsidRPr="003F493B">
        <w:t>” voor alleenstaande vergunninghouders die wachten op gezinshereniging</w:t>
      </w:r>
      <w:r w:rsidR="00B81584">
        <w:t>.</w:t>
      </w:r>
    </w:p>
    <w:p w14:paraId="7A7539FE" w14:textId="77777777" w:rsidR="00B81584" w:rsidRDefault="00B81584" w:rsidP="00B81584"/>
    <w:p w14:paraId="7E3EC373" w14:textId="27A395B3" w:rsidR="00B81584" w:rsidRDefault="00F14F70" w:rsidP="00B81584">
      <w:pPr>
        <w:ind w:left="705" w:hanging="705"/>
      </w:pPr>
      <w:r>
        <w:t>2</w:t>
      </w:r>
      <w:r w:rsidR="00B81584" w:rsidRPr="003F493B">
        <w:t xml:space="preserve">. </w:t>
      </w:r>
      <w:r w:rsidR="00B81584" w:rsidRPr="003F493B">
        <w:tab/>
      </w:r>
      <w:r>
        <w:t xml:space="preserve">Maak gebruik van </w:t>
      </w:r>
      <w:r w:rsidRPr="00F14F70">
        <w:rPr>
          <w:b/>
        </w:rPr>
        <w:t>kamergewijze verhuur</w:t>
      </w:r>
      <w:r>
        <w:t xml:space="preserve"> d.w.z. het plaatsen van </w:t>
      </w:r>
      <w:r w:rsidR="00B81584" w:rsidRPr="003F493B">
        <w:t>meerdere vergunninghouders in één passende woning.</w:t>
      </w:r>
      <w:r w:rsidR="00B81584">
        <w:t xml:space="preserve"> </w:t>
      </w:r>
    </w:p>
    <w:p w14:paraId="1B8B6408" w14:textId="48DD0E7C" w:rsidR="00B81584" w:rsidRDefault="00B81584" w:rsidP="00B81584">
      <w:r>
        <w:tab/>
      </w:r>
    </w:p>
    <w:p w14:paraId="6B1DB1B2" w14:textId="77777777" w:rsidR="00B81584" w:rsidRDefault="00B81584"/>
    <w:p w14:paraId="2CF7DD85" w14:textId="77777777" w:rsidR="006B710A" w:rsidRPr="00F14F70" w:rsidRDefault="006B710A">
      <w:pPr>
        <w:rPr>
          <w:u w:val="single"/>
        </w:rPr>
      </w:pPr>
      <w:r w:rsidRPr="00F14F70">
        <w:rPr>
          <w:u w:val="single"/>
        </w:rPr>
        <w:t>Specifiek grote gezinnen</w:t>
      </w:r>
    </w:p>
    <w:p w14:paraId="38BCB9BB" w14:textId="77777777" w:rsidR="00777478" w:rsidRDefault="00777478" w:rsidP="00777478">
      <w:pPr>
        <w:ind w:left="705" w:hanging="705"/>
      </w:pPr>
    </w:p>
    <w:p w14:paraId="3B2E19A5" w14:textId="208D74A3" w:rsidR="00777478" w:rsidRDefault="00777478" w:rsidP="00777478">
      <w:pPr>
        <w:ind w:left="705" w:hanging="705"/>
      </w:pPr>
      <w:r>
        <w:t xml:space="preserve">1. </w:t>
      </w:r>
      <w:r>
        <w:tab/>
      </w:r>
      <w:r w:rsidR="00F14F70">
        <w:t xml:space="preserve">Maak gebruik van de mogelijkheid om bij de belastingdienst een </w:t>
      </w:r>
      <w:r w:rsidR="00F14F70" w:rsidRPr="00677752">
        <w:rPr>
          <w:b/>
        </w:rPr>
        <w:t>verzoek bijzondere situatie huurtoeslag</w:t>
      </w:r>
      <w:r w:rsidR="00F14F70">
        <w:t xml:space="preserve"> in te dienen. Dat kan </w:t>
      </w:r>
      <w:r w:rsidR="00F14F70">
        <w:lastRenderedPageBreak/>
        <w:t>v</w:t>
      </w:r>
      <w:r>
        <w:t xml:space="preserve">oor grote gezinnen (8 of meer personen) </w:t>
      </w:r>
      <w:r w:rsidR="00F14F70">
        <w:t xml:space="preserve">bij </w:t>
      </w:r>
      <w:r>
        <w:t>w</w:t>
      </w:r>
      <w:r w:rsidR="0057586D">
        <w:t>oningen boven de huurprijsgrens</w:t>
      </w:r>
      <w:r>
        <w:t>. Omdat de woningen met een huur boven de huurprijsgrens vaak in andere wijken staan, wordt spreiding mogelijk.</w:t>
      </w:r>
    </w:p>
    <w:p w14:paraId="186F0458" w14:textId="479D0F30" w:rsidR="00D862D2" w:rsidRPr="00CE7945" w:rsidRDefault="00D862D2" w:rsidP="00FC7803">
      <w:pPr>
        <w:shd w:val="clear" w:color="auto" w:fill="FFFFFF"/>
        <w:spacing w:line="240" w:lineRule="auto"/>
        <w:ind w:left="705"/>
        <w:rPr>
          <w:rFonts w:ascii="Calibri" w:eastAsia="Calibri" w:hAnsi="Calibri" w:cs="Arial"/>
          <w:sz w:val="16"/>
          <w:szCs w:val="16"/>
          <w:lang w:eastAsia="en-US"/>
        </w:rPr>
      </w:pPr>
      <w:r>
        <w:t>Zie link:</w:t>
      </w:r>
      <w:r w:rsidR="0057586D">
        <w:t xml:space="preserve"> </w:t>
      </w:r>
      <w:hyperlink r:id="rId20" w:history="1">
        <w:r w:rsidR="0057586D" w:rsidRPr="00A6392B">
          <w:rPr>
            <w:rStyle w:val="Hyperlink"/>
          </w:rPr>
          <w:t>https://www.belastingdienst.nl/wps/wcm/connect/bldcontentnl/belastingdienst/prive/toeslagen/wijzigingen_doorgeven/welke_wijzigingen_moet_ik_doorgeven/wonen/ik_huur_een_duurdere_woning_vanwege_een_groot_huishouden/</w:t>
        </w:r>
      </w:hyperlink>
      <w:r w:rsidR="0057586D">
        <w:t xml:space="preserve"> </w:t>
      </w:r>
      <w:r>
        <w:t xml:space="preserve"> </w:t>
      </w:r>
      <w:hyperlink r:id="rId21" w:history="1"/>
    </w:p>
    <w:p w14:paraId="1510415C" w14:textId="3F46C136" w:rsidR="00D862D2" w:rsidRDefault="00D862D2" w:rsidP="00777478">
      <w:pPr>
        <w:ind w:left="705" w:hanging="705"/>
      </w:pPr>
    </w:p>
    <w:p w14:paraId="729A9931" w14:textId="2B3CAFFF" w:rsidR="00777478" w:rsidRDefault="00F14F70" w:rsidP="00F14F70">
      <w:pPr>
        <w:ind w:left="705" w:hanging="705"/>
      </w:pPr>
      <w:r>
        <w:t xml:space="preserve">2. </w:t>
      </w:r>
      <w:r>
        <w:tab/>
        <w:t xml:space="preserve">Bespreek met woningcorporaties het </w:t>
      </w:r>
      <w:r w:rsidRPr="00677752">
        <w:rPr>
          <w:b/>
        </w:rPr>
        <w:t>stimuleren</w:t>
      </w:r>
      <w:r>
        <w:t xml:space="preserve"> van huisvesten van grote gezinnen door</w:t>
      </w:r>
      <w:r w:rsidR="00777478">
        <w:t xml:space="preserve">: </w:t>
      </w:r>
      <w:r w:rsidR="00677752">
        <w:t>aanpassing huurtarief; w</w:t>
      </w:r>
      <w:r w:rsidR="00777478">
        <w:t>erken met flexibele contracten; bijv. bij 8 plus gezinnen: zodra de jongste 18 is moet men verhuizen. Maar dit kun je aan de voorkant opnemen in het huurcontract. Ook kan in het huurcontract worden opgenomen dat als een gezin kleiner dan 5 personen wordt, er ook verhuisd moet worden.</w:t>
      </w:r>
    </w:p>
    <w:p w14:paraId="3813FB04" w14:textId="77777777" w:rsidR="009B2D7B" w:rsidRDefault="009B2D7B" w:rsidP="009B2D7B">
      <w:pPr>
        <w:ind w:left="705" w:hanging="705"/>
      </w:pPr>
    </w:p>
    <w:p w14:paraId="3BFA0637" w14:textId="2100D5BA" w:rsidR="006B710A" w:rsidRDefault="00677752" w:rsidP="009B2D7B">
      <w:pPr>
        <w:ind w:left="705" w:hanging="705"/>
      </w:pPr>
      <w:r>
        <w:t xml:space="preserve">3.  </w:t>
      </w:r>
      <w:r w:rsidR="009B2D7B">
        <w:tab/>
      </w:r>
      <w:r>
        <w:t xml:space="preserve">Overweeg </w:t>
      </w:r>
      <w:r w:rsidRPr="00677752">
        <w:t xml:space="preserve">ten behoeve van de huisvesting van grote gezinnen </w:t>
      </w:r>
      <w:r>
        <w:t>o</w:t>
      </w:r>
      <w:r w:rsidRPr="00677752">
        <w:t xml:space="preserve">m </w:t>
      </w:r>
      <w:r w:rsidRPr="00677752">
        <w:rPr>
          <w:b/>
        </w:rPr>
        <w:t>bijzondere bijstand</w:t>
      </w:r>
      <w:r w:rsidRPr="00677752">
        <w:t xml:space="preserve"> te verlenen.</w:t>
      </w:r>
    </w:p>
    <w:p w14:paraId="2FB50730" w14:textId="77777777" w:rsidR="00677752" w:rsidRDefault="00677752"/>
    <w:p w14:paraId="347E0A64" w14:textId="21AA625A" w:rsidR="002615A3" w:rsidRDefault="00677752" w:rsidP="00677752">
      <w:pPr>
        <w:spacing w:line="260" w:lineRule="exact"/>
        <w:ind w:left="705" w:hanging="705"/>
      </w:pPr>
      <w:r>
        <w:rPr>
          <w:bCs/>
        </w:rPr>
        <w:t>4</w:t>
      </w:r>
      <w:r w:rsidR="002615A3" w:rsidRPr="00ED046A">
        <w:rPr>
          <w:bCs/>
        </w:rPr>
        <w:t xml:space="preserve">. </w:t>
      </w:r>
      <w:r w:rsidR="002615A3">
        <w:rPr>
          <w:bCs/>
        </w:rPr>
        <w:tab/>
      </w:r>
      <w:r w:rsidRPr="00677752">
        <w:rPr>
          <w:b/>
          <w:bCs/>
        </w:rPr>
        <w:t>Meldt</w:t>
      </w:r>
      <w:r>
        <w:rPr>
          <w:bCs/>
        </w:rPr>
        <w:t xml:space="preserve"> bij de regievoerder van het COA als </w:t>
      </w:r>
      <w:r>
        <w:t>er een grote woning vrijkomt</w:t>
      </w:r>
      <w:r w:rsidR="002615A3">
        <w:t>.</w:t>
      </w:r>
    </w:p>
    <w:p w14:paraId="3AEEF26B" w14:textId="77777777" w:rsidR="009B2D7B" w:rsidRDefault="009B2D7B" w:rsidP="00D862D2">
      <w:pPr>
        <w:spacing w:line="260" w:lineRule="exact"/>
        <w:ind w:left="705" w:hanging="705"/>
      </w:pPr>
    </w:p>
    <w:p w14:paraId="01CD5017" w14:textId="77777777" w:rsidR="006B710A" w:rsidRPr="00677752" w:rsidRDefault="006B710A">
      <w:pPr>
        <w:rPr>
          <w:u w:val="single"/>
        </w:rPr>
      </w:pPr>
      <w:r w:rsidRPr="00677752">
        <w:rPr>
          <w:u w:val="single"/>
        </w:rPr>
        <w:t>Specifiek medisch</w:t>
      </w:r>
    </w:p>
    <w:p w14:paraId="29A91320" w14:textId="77777777" w:rsidR="002615A3" w:rsidRDefault="002615A3" w:rsidP="002615A3">
      <w:pPr>
        <w:spacing w:line="260" w:lineRule="exact"/>
      </w:pPr>
    </w:p>
    <w:p w14:paraId="1D8715DE" w14:textId="6301029F" w:rsidR="00CD24C9" w:rsidRDefault="00677752" w:rsidP="00CA3A34">
      <w:pPr>
        <w:spacing w:line="260" w:lineRule="exact"/>
        <w:ind w:left="705" w:hanging="705"/>
      </w:pPr>
      <w:r>
        <w:rPr>
          <w:bCs/>
        </w:rPr>
        <w:t>1</w:t>
      </w:r>
      <w:r w:rsidR="002615A3" w:rsidRPr="00ED046A">
        <w:rPr>
          <w:bCs/>
        </w:rPr>
        <w:t xml:space="preserve">. </w:t>
      </w:r>
      <w:r w:rsidR="002615A3">
        <w:rPr>
          <w:bCs/>
        </w:rPr>
        <w:tab/>
      </w:r>
      <w:r w:rsidRPr="00677752">
        <w:rPr>
          <w:b/>
          <w:bCs/>
        </w:rPr>
        <w:t>Meldt</w:t>
      </w:r>
      <w:r>
        <w:rPr>
          <w:bCs/>
        </w:rPr>
        <w:t xml:space="preserve"> bij de regievoerder van het COA als </w:t>
      </w:r>
      <w:r>
        <w:t>er een woning vrijkomt</w:t>
      </w:r>
      <w:r w:rsidR="002615A3">
        <w:t xml:space="preserve"> die </w:t>
      </w:r>
      <w:r>
        <w:t xml:space="preserve">geschikt is voor vergunninghouders die </w:t>
      </w:r>
      <w:r w:rsidR="002615A3">
        <w:t xml:space="preserve">om medische reden(en) een aangepaste woning of een woning in een prikkelarme omgeving nodig hebben. </w:t>
      </w:r>
    </w:p>
    <w:p w14:paraId="625E9BBF" w14:textId="77777777" w:rsidR="009309B5" w:rsidRDefault="009309B5">
      <w:pPr>
        <w:spacing w:line="240" w:lineRule="auto"/>
      </w:pPr>
    </w:p>
    <w:p w14:paraId="401CA53F" w14:textId="0D13BF01" w:rsidR="0087575B" w:rsidRDefault="0087575B">
      <w:pPr>
        <w:spacing w:line="240" w:lineRule="auto"/>
      </w:pPr>
      <w:r>
        <w:br w:type="page"/>
      </w:r>
    </w:p>
    <w:p w14:paraId="2E31EA62" w14:textId="77777777" w:rsidR="0087575B" w:rsidRDefault="0087575B" w:rsidP="00C210DA">
      <w:pPr>
        <w:rPr>
          <w:b/>
        </w:rPr>
      </w:pPr>
    </w:p>
    <w:p w14:paraId="5BA7E12C" w14:textId="1A0852B4" w:rsidR="00E478AD" w:rsidRPr="00C210DA" w:rsidRDefault="00A34108" w:rsidP="00C210DA">
      <w:pPr>
        <w:rPr>
          <w:b/>
        </w:rPr>
      </w:pPr>
      <w:r w:rsidRPr="00C210DA">
        <w:rPr>
          <w:b/>
        </w:rPr>
        <w:t>BIJLAGE</w:t>
      </w:r>
    </w:p>
    <w:p w14:paraId="52763052" w14:textId="77777777" w:rsidR="001D6626" w:rsidRPr="001D6626" w:rsidRDefault="001D6626" w:rsidP="001D6626">
      <w:pPr>
        <w:spacing w:line="240" w:lineRule="auto"/>
        <w:rPr>
          <w:rFonts w:ascii="Verdana" w:eastAsiaTheme="minorHAnsi" w:hAnsi="Verdana" w:cstheme="minorBidi"/>
          <w:b/>
          <w:sz w:val="18"/>
          <w:szCs w:val="18"/>
          <w:lang w:eastAsia="en-US"/>
        </w:rPr>
      </w:pPr>
      <w:r w:rsidRPr="001D6626">
        <w:rPr>
          <w:rFonts w:ascii="Verdana" w:eastAsiaTheme="minorHAnsi" w:hAnsi="Verdana" w:cstheme="minorBidi"/>
          <w:b/>
          <w:sz w:val="18"/>
          <w:szCs w:val="18"/>
          <w:lang w:eastAsia="en-US"/>
        </w:rPr>
        <w:br/>
        <w:t>Stappenplan bij herverdeling taakstelling huisvesting vergunninghouders</w:t>
      </w:r>
    </w:p>
    <w:p w14:paraId="1B28A3BE" w14:textId="77777777" w:rsidR="001D6626" w:rsidRPr="001D6626" w:rsidRDefault="001D6626" w:rsidP="001D6626">
      <w:pPr>
        <w:spacing w:after="200" w:line="240" w:lineRule="atLeast"/>
        <w:rPr>
          <w:rFonts w:ascii="Verdana" w:eastAsiaTheme="minorHAnsi" w:hAnsi="Verdana" w:cstheme="minorBidi"/>
          <w:b/>
          <w:sz w:val="18"/>
          <w:szCs w:val="18"/>
          <w:lang w:eastAsia="en-US"/>
        </w:rPr>
      </w:pPr>
    </w:p>
    <w:p w14:paraId="011E5D5C" w14:textId="77777777" w:rsidR="001D6626" w:rsidRPr="001D6626" w:rsidRDefault="001D6626" w:rsidP="001D6626">
      <w:pPr>
        <w:autoSpaceDE w:val="0"/>
        <w:autoSpaceDN w:val="0"/>
        <w:spacing w:line="240" w:lineRule="atLeast"/>
        <w:rPr>
          <w:rFonts w:ascii="Verdana" w:eastAsiaTheme="minorHAnsi" w:hAnsi="Verdana"/>
          <w:b/>
          <w:color w:val="000000"/>
          <w:sz w:val="18"/>
          <w:szCs w:val="18"/>
        </w:rPr>
      </w:pPr>
      <w:r w:rsidRPr="001D6626">
        <w:rPr>
          <w:rFonts w:ascii="Verdana" w:eastAsiaTheme="minorHAnsi" w:hAnsi="Verdana"/>
          <w:b/>
          <w:color w:val="000000"/>
          <w:sz w:val="18"/>
          <w:szCs w:val="18"/>
        </w:rPr>
        <w:t>Stappen:</w:t>
      </w:r>
    </w:p>
    <w:p w14:paraId="04F041C8" w14:textId="77777777" w:rsidR="001D6626" w:rsidRPr="001D6626" w:rsidRDefault="001D6626" w:rsidP="001D6626">
      <w:pPr>
        <w:autoSpaceDE w:val="0"/>
        <w:autoSpaceDN w:val="0"/>
        <w:spacing w:line="240" w:lineRule="atLeast"/>
        <w:rPr>
          <w:rFonts w:ascii="Verdana" w:eastAsiaTheme="minorHAnsi" w:hAnsi="Verdana"/>
          <w:color w:val="000000"/>
          <w:sz w:val="18"/>
          <w:szCs w:val="18"/>
        </w:rPr>
      </w:pPr>
    </w:p>
    <w:p w14:paraId="10184158" w14:textId="77777777" w:rsidR="001D6626" w:rsidRPr="001D6626" w:rsidRDefault="001D6626" w:rsidP="001D6626">
      <w:pPr>
        <w:numPr>
          <w:ilvl w:val="0"/>
          <w:numId w:val="4"/>
        </w:numPr>
        <w:autoSpaceDE w:val="0"/>
        <w:autoSpaceDN w:val="0"/>
        <w:spacing w:line="240" w:lineRule="atLeast"/>
        <w:contextualSpacing/>
        <w:rPr>
          <w:rFonts w:ascii="Verdana" w:eastAsiaTheme="minorHAnsi" w:hAnsi="Verdana"/>
          <w:color w:val="000000"/>
          <w:sz w:val="18"/>
          <w:szCs w:val="18"/>
        </w:rPr>
      </w:pPr>
      <w:r w:rsidRPr="001D6626">
        <w:rPr>
          <w:rFonts w:ascii="Verdana" w:eastAsiaTheme="minorHAnsi" w:hAnsi="Verdana"/>
          <w:color w:val="000000"/>
          <w:sz w:val="18"/>
          <w:szCs w:val="18"/>
        </w:rPr>
        <w:t xml:space="preserve">Verkenning van en besluitvorming door gemeenten die willen herverdelen. Besluitvorming tot wijziging van de taakstellingen schriftelijk en door B&amp;W van </w:t>
      </w:r>
      <w:r w:rsidRPr="001D6626">
        <w:rPr>
          <w:rFonts w:ascii="Verdana" w:eastAsiaTheme="minorHAnsi" w:hAnsi="Verdana"/>
          <w:i/>
          <w:iCs/>
          <w:color w:val="000000"/>
          <w:sz w:val="18"/>
          <w:szCs w:val="18"/>
        </w:rPr>
        <w:t>alle betrokken gemeenten</w:t>
      </w:r>
      <w:r w:rsidRPr="001D6626">
        <w:rPr>
          <w:rFonts w:ascii="Verdana" w:eastAsiaTheme="minorHAnsi" w:hAnsi="Verdana"/>
          <w:color w:val="000000"/>
          <w:sz w:val="18"/>
          <w:szCs w:val="18"/>
        </w:rPr>
        <w:t>. De som van de aantallen vergunninghouders in wier huisvesting na die wijziging in de betrokken gemeenten tezamen dient te worden voorzien, mag niet wijzigen. Aantallen te herverdelen vergunninghouders zwart op wit en openbare bekendmaking. Afspraak gebonden in tijd (voor één taakstellingsperiode max).</w:t>
      </w:r>
    </w:p>
    <w:p w14:paraId="0D8F87F9" w14:textId="64A8957F" w:rsidR="001D6626" w:rsidRPr="001D6626" w:rsidRDefault="001D6626" w:rsidP="001D6626">
      <w:pPr>
        <w:numPr>
          <w:ilvl w:val="0"/>
          <w:numId w:val="4"/>
        </w:numPr>
        <w:autoSpaceDE w:val="0"/>
        <w:autoSpaceDN w:val="0"/>
        <w:spacing w:line="240" w:lineRule="atLeast"/>
        <w:contextualSpacing/>
        <w:rPr>
          <w:rFonts w:ascii="Verdana" w:eastAsiaTheme="minorHAnsi" w:hAnsi="Verdana"/>
          <w:color w:val="000000"/>
          <w:sz w:val="18"/>
          <w:szCs w:val="18"/>
        </w:rPr>
      </w:pPr>
      <w:r w:rsidRPr="001D6626">
        <w:rPr>
          <w:rFonts w:ascii="Verdana" w:eastAsiaTheme="minorHAnsi" w:hAnsi="Verdana"/>
          <w:color w:val="000000"/>
          <w:sz w:val="18"/>
          <w:szCs w:val="18"/>
        </w:rPr>
        <w:t>Deelnemende gemeenten doen actieve kennisgeving van besluit tot herverdeling per brief aan COA (t.a.v. de unit Plaatsing, Postbus 30</w:t>
      </w:r>
      <w:r w:rsidR="00677752">
        <w:rPr>
          <w:rFonts w:ascii="Verdana" w:eastAsiaTheme="minorHAnsi" w:hAnsi="Verdana"/>
          <w:color w:val="000000"/>
          <w:sz w:val="18"/>
          <w:szCs w:val="18"/>
        </w:rPr>
        <w:t>203</w:t>
      </w:r>
      <w:r w:rsidRPr="001D6626">
        <w:rPr>
          <w:rFonts w:ascii="Verdana" w:eastAsiaTheme="minorHAnsi" w:hAnsi="Verdana"/>
          <w:color w:val="000000"/>
          <w:sz w:val="18"/>
          <w:szCs w:val="18"/>
        </w:rPr>
        <w:t>, 2</w:t>
      </w:r>
      <w:r w:rsidR="00677752">
        <w:rPr>
          <w:rFonts w:ascii="Verdana" w:eastAsiaTheme="minorHAnsi" w:hAnsi="Verdana"/>
          <w:color w:val="000000"/>
          <w:sz w:val="18"/>
          <w:szCs w:val="18"/>
        </w:rPr>
        <w:t>500 GE Den Haag T 088-7157000 (ma t/m vr 08.30–17.30 uur</w:t>
      </w:r>
      <w:r w:rsidRPr="001D6626">
        <w:rPr>
          <w:rFonts w:ascii="Verdana" w:eastAsiaTheme="minorHAnsi" w:hAnsi="Verdana"/>
          <w:color w:val="000000"/>
          <w:sz w:val="18"/>
          <w:szCs w:val="18"/>
        </w:rPr>
        <w:t xml:space="preserve">). </w:t>
      </w:r>
    </w:p>
    <w:p w14:paraId="56601C1A" w14:textId="7CCB1E8E" w:rsidR="001D6626" w:rsidRPr="001D6626" w:rsidRDefault="001D6626" w:rsidP="001D6626">
      <w:pPr>
        <w:numPr>
          <w:ilvl w:val="0"/>
          <w:numId w:val="4"/>
        </w:numPr>
        <w:autoSpaceDE w:val="0"/>
        <w:autoSpaceDN w:val="0"/>
        <w:spacing w:line="240" w:lineRule="atLeast"/>
        <w:contextualSpacing/>
        <w:rPr>
          <w:rFonts w:ascii="Verdana" w:eastAsiaTheme="minorHAnsi" w:hAnsi="Verdana"/>
          <w:color w:val="000000"/>
          <w:sz w:val="18"/>
          <w:szCs w:val="18"/>
        </w:rPr>
      </w:pPr>
      <w:r w:rsidRPr="001D6626">
        <w:rPr>
          <w:rFonts w:ascii="Verdana" w:eastAsiaTheme="minorHAnsi" w:hAnsi="Verdana"/>
          <w:color w:val="000000"/>
          <w:sz w:val="18"/>
          <w:szCs w:val="18"/>
        </w:rPr>
        <w:t xml:space="preserve">COA toetst of de som van de aantallen te huisvesten vergunninghouders klopt. Zo ja, verwerkt het COA de cijfers binnen één maand in het overzicht voor- en achter. COA informeert ministerie </w:t>
      </w:r>
      <w:r w:rsidR="00FC7803">
        <w:rPr>
          <w:rFonts w:ascii="Verdana" w:eastAsiaTheme="minorHAnsi" w:hAnsi="Verdana"/>
          <w:color w:val="000000"/>
          <w:sz w:val="18"/>
          <w:szCs w:val="18"/>
        </w:rPr>
        <w:t>J&amp;V</w:t>
      </w:r>
      <w:r w:rsidRPr="001D6626">
        <w:rPr>
          <w:rFonts w:ascii="Verdana" w:eastAsiaTheme="minorHAnsi" w:hAnsi="Verdana"/>
          <w:color w:val="000000"/>
          <w:sz w:val="18"/>
          <w:szCs w:val="18"/>
        </w:rPr>
        <w:t xml:space="preserve"> én provincie als interbestuurlijk toezichthouder. </w:t>
      </w:r>
    </w:p>
    <w:p w14:paraId="4022E9C4" w14:textId="2B7B23F7" w:rsidR="001D6626" w:rsidRPr="001D6626" w:rsidRDefault="001D6626" w:rsidP="001D6626">
      <w:pPr>
        <w:numPr>
          <w:ilvl w:val="0"/>
          <w:numId w:val="4"/>
        </w:numPr>
        <w:autoSpaceDE w:val="0"/>
        <w:autoSpaceDN w:val="0"/>
        <w:spacing w:line="240" w:lineRule="atLeast"/>
        <w:contextualSpacing/>
        <w:rPr>
          <w:rFonts w:ascii="Verdana" w:eastAsiaTheme="minorHAnsi" w:hAnsi="Verdana"/>
          <w:color w:val="000000"/>
          <w:sz w:val="18"/>
          <w:szCs w:val="18"/>
        </w:rPr>
      </w:pPr>
      <w:r w:rsidRPr="001D6626">
        <w:rPr>
          <w:rFonts w:ascii="Verdana" w:eastAsiaTheme="minorHAnsi" w:hAnsi="Verdana"/>
          <w:color w:val="000000"/>
          <w:sz w:val="18"/>
          <w:szCs w:val="18"/>
        </w:rPr>
        <w:t>De provincie als interbestuurlijk toezichthouder neemt kennis van en houdt rekening met de herverdeling in de taakstellingsperiode waarbinnen de herverdeling valt. Eenmaal overgedragen taakstellingen worden niet meer aan de overdragende gemeenten toegerekend. De overnemende gemeenten worden beoo</w:t>
      </w:r>
      <w:r w:rsidR="001F0928">
        <w:rPr>
          <w:rFonts w:ascii="Verdana" w:eastAsiaTheme="minorHAnsi" w:hAnsi="Verdana"/>
          <w:color w:val="000000"/>
          <w:sz w:val="18"/>
          <w:szCs w:val="18"/>
        </w:rPr>
        <w:t xml:space="preserve">rdeeld op de totale, verhoogde </w:t>
      </w:r>
      <w:r w:rsidRPr="001D6626">
        <w:rPr>
          <w:rFonts w:ascii="Verdana" w:eastAsiaTheme="minorHAnsi" w:hAnsi="Verdana"/>
          <w:color w:val="000000"/>
          <w:sz w:val="18"/>
          <w:szCs w:val="18"/>
        </w:rPr>
        <w:t xml:space="preserve">(individuele) taakstelling. </w:t>
      </w:r>
    </w:p>
    <w:p w14:paraId="166EEBD5" w14:textId="77777777" w:rsidR="001D6626" w:rsidRPr="001D6626" w:rsidRDefault="001D6626" w:rsidP="001D6626">
      <w:pPr>
        <w:spacing w:after="200" w:line="240" w:lineRule="atLeast"/>
        <w:rPr>
          <w:rFonts w:ascii="Verdana" w:eastAsiaTheme="minorHAnsi" w:hAnsi="Verdana" w:cstheme="minorBidi"/>
          <w:b/>
          <w:sz w:val="18"/>
          <w:szCs w:val="18"/>
          <w:lang w:eastAsia="en-US"/>
        </w:rPr>
      </w:pPr>
    </w:p>
    <w:p w14:paraId="385A05DF" w14:textId="77777777" w:rsidR="001D6626" w:rsidRPr="001D6626" w:rsidRDefault="001D6626" w:rsidP="001D6626">
      <w:pPr>
        <w:spacing w:after="200" w:line="240" w:lineRule="atLeast"/>
        <w:rPr>
          <w:rFonts w:ascii="Verdana" w:eastAsiaTheme="minorHAnsi" w:hAnsi="Verdana" w:cstheme="minorBidi"/>
          <w:b/>
          <w:sz w:val="18"/>
          <w:szCs w:val="18"/>
          <w:lang w:eastAsia="en-US"/>
        </w:rPr>
      </w:pPr>
      <w:r w:rsidRPr="001D6626">
        <w:rPr>
          <w:rFonts w:ascii="Verdana" w:eastAsiaTheme="minorHAnsi" w:hAnsi="Verdana" w:cstheme="minorBidi"/>
          <w:b/>
          <w:sz w:val="18"/>
          <w:szCs w:val="18"/>
          <w:lang w:eastAsia="en-US"/>
        </w:rPr>
        <w:t xml:space="preserve">Bijbehorende uitgangspunten: </w:t>
      </w:r>
    </w:p>
    <w:p w14:paraId="70A01E64" w14:textId="77777777" w:rsidR="001D6626" w:rsidRPr="001D6626" w:rsidRDefault="001D6626" w:rsidP="001D6626">
      <w:pPr>
        <w:numPr>
          <w:ilvl w:val="0"/>
          <w:numId w:val="3"/>
        </w:numPr>
        <w:spacing w:after="200" w:line="240" w:lineRule="atLeast"/>
        <w:contextualSpacing/>
        <w:rPr>
          <w:rFonts w:ascii="Verdana" w:eastAsiaTheme="minorHAnsi" w:hAnsi="Verdana" w:cstheme="minorBidi"/>
          <w:b/>
          <w:sz w:val="18"/>
          <w:szCs w:val="18"/>
          <w:lang w:eastAsia="en-US"/>
        </w:rPr>
      </w:pPr>
      <w:r w:rsidRPr="001D6626">
        <w:rPr>
          <w:rFonts w:ascii="Verdana" w:eastAsiaTheme="minorHAnsi" w:hAnsi="Verdana" w:cstheme="minorBidi"/>
          <w:b/>
          <w:sz w:val="18"/>
          <w:szCs w:val="18"/>
          <w:lang w:eastAsia="en-US"/>
        </w:rPr>
        <w:t>Individuele opdracht/taakstelling voor gemeenten.</w:t>
      </w:r>
      <w:r w:rsidRPr="001D6626">
        <w:rPr>
          <w:rFonts w:ascii="Verdana" w:eastAsiaTheme="minorHAnsi" w:hAnsi="Verdana" w:cstheme="minorBidi"/>
          <w:b/>
          <w:sz w:val="18"/>
          <w:szCs w:val="18"/>
          <w:lang w:eastAsia="en-US"/>
        </w:rPr>
        <w:br/>
      </w:r>
      <w:r w:rsidRPr="001D6626">
        <w:rPr>
          <w:rFonts w:ascii="Verdana" w:eastAsiaTheme="minorHAnsi" w:hAnsi="Verdana" w:cstheme="minorBidi"/>
          <w:bCs/>
          <w:sz w:val="18"/>
          <w:szCs w:val="18"/>
          <w:lang w:eastAsia="en-US"/>
        </w:rPr>
        <w:t>De taakstelling huisvesting vergunninghouders is een wettelijke taak die aan iedere individuele gemeente wordt opgelegd. Dat betekent dat een gemeente niet eenzijdig afstand kan doen van deze taak of verplichting. Nakomen is de norm. Bij niet-nakomen is de bestuurlijke interventieladder interbestuurlijk toezicht van toepassing.</w:t>
      </w:r>
    </w:p>
    <w:p w14:paraId="49BACF20" w14:textId="6D3523CD" w:rsidR="001D6626" w:rsidRPr="001D6626" w:rsidRDefault="001D6626" w:rsidP="001D6626">
      <w:pPr>
        <w:numPr>
          <w:ilvl w:val="0"/>
          <w:numId w:val="3"/>
        </w:numPr>
        <w:autoSpaceDE w:val="0"/>
        <w:autoSpaceDN w:val="0"/>
        <w:spacing w:line="240" w:lineRule="atLeast"/>
        <w:contextualSpacing/>
        <w:rPr>
          <w:rFonts w:ascii="Verdana" w:eastAsiaTheme="minorHAnsi" w:hAnsi="Verdana"/>
          <w:color w:val="000000"/>
          <w:sz w:val="18"/>
          <w:szCs w:val="18"/>
        </w:rPr>
      </w:pPr>
      <w:r w:rsidRPr="001D6626">
        <w:rPr>
          <w:rFonts w:ascii="Verdana" w:eastAsiaTheme="minorHAnsi" w:hAnsi="Verdana"/>
          <w:b/>
          <w:color w:val="000000"/>
          <w:sz w:val="18"/>
          <w:szCs w:val="18"/>
        </w:rPr>
        <w:t>Overdracht taakstelling is echter mogelijk</w:t>
      </w:r>
      <w:r w:rsidRPr="001D6626">
        <w:rPr>
          <w:rFonts w:ascii="Verdana" w:eastAsiaTheme="minorHAnsi" w:hAnsi="Verdana"/>
          <w:b/>
          <w:color w:val="000000"/>
          <w:sz w:val="18"/>
          <w:szCs w:val="18"/>
        </w:rPr>
        <w:br/>
      </w:r>
      <w:r w:rsidRPr="001D6626">
        <w:rPr>
          <w:rFonts w:ascii="Verdana" w:eastAsiaTheme="minorHAnsi" w:hAnsi="Verdana"/>
          <w:color w:val="000000"/>
          <w:sz w:val="18"/>
          <w:szCs w:val="18"/>
        </w:rPr>
        <w:t xml:space="preserve">De Huisvestingswet (art. 29, lid 2) maakt het mogelijk dat taakstellingen tussen gemeenten worden herverdeeld. De wet spreekt van een gezamenlijk  besluit van B&amp;W van twee of meer herverdelende gemeenten tot </w:t>
      </w:r>
      <w:r w:rsidRPr="001D6626">
        <w:rPr>
          <w:rFonts w:ascii="Verdana" w:eastAsiaTheme="minorHAnsi" w:hAnsi="Verdana"/>
          <w:i/>
          <w:iCs/>
          <w:color w:val="000000"/>
          <w:sz w:val="18"/>
          <w:szCs w:val="18"/>
        </w:rPr>
        <w:t>wijziging</w:t>
      </w:r>
      <w:r w:rsidRPr="001D6626">
        <w:rPr>
          <w:rFonts w:ascii="Verdana" w:eastAsiaTheme="minorHAnsi" w:hAnsi="Verdana"/>
          <w:color w:val="000000"/>
          <w:sz w:val="18"/>
          <w:szCs w:val="18"/>
        </w:rPr>
        <w:t xml:space="preserve"> van die taakstellingen, met dien verstande dat de som van de aantallen vergunninghouders in wier huisvesting na die wijziging in de betrokken gemeenten tezamen dient te worden voorzien, niet wijzigt. De mogelijkheid en verantwoordelijkheid voor herverdeling ligt dus bij de gemeenten die dit afspreken. Er is geen bevestigende of autoriserende instantie daarboven. Wel zullen COA, ministerie </w:t>
      </w:r>
      <w:r w:rsidR="001F0928">
        <w:rPr>
          <w:rFonts w:ascii="Verdana" w:eastAsiaTheme="minorHAnsi" w:hAnsi="Verdana"/>
          <w:color w:val="000000"/>
          <w:sz w:val="18"/>
          <w:szCs w:val="18"/>
        </w:rPr>
        <w:t>J&amp;V</w:t>
      </w:r>
      <w:r w:rsidRPr="001D6626">
        <w:rPr>
          <w:rFonts w:ascii="Verdana" w:eastAsiaTheme="minorHAnsi" w:hAnsi="Verdana"/>
          <w:color w:val="000000"/>
          <w:sz w:val="18"/>
          <w:szCs w:val="18"/>
        </w:rPr>
        <w:t xml:space="preserve"> en provincie als interbestuurlijk toezichthouder op de hoogte gebracht moeten worden van het besluit. </w:t>
      </w:r>
    </w:p>
    <w:p w14:paraId="1EA8CE93" w14:textId="77777777" w:rsidR="001D6626" w:rsidRPr="001D6626" w:rsidRDefault="001D6626" w:rsidP="001D6626">
      <w:pPr>
        <w:numPr>
          <w:ilvl w:val="0"/>
          <w:numId w:val="3"/>
        </w:numPr>
        <w:autoSpaceDE w:val="0"/>
        <w:autoSpaceDN w:val="0"/>
        <w:spacing w:line="240" w:lineRule="atLeast"/>
        <w:contextualSpacing/>
        <w:rPr>
          <w:rFonts w:ascii="Verdana" w:eastAsiaTheme="minorHAnsi" w:hAnsi="Verdana"/>
          <w:color w:val="000000"/>
          <w:sz w:val="18"/>
          <w:szCs w:val="18"/>
        </w:rPr>
      </w:pPr>
      <w:r w:rsidRPr="001D6626">
        <w:rPr>
          <w:rFonts w:ascii="Verdana" w:eastAsiaTheme="minorHAnsi" w:hAnsi="Verdana"/>
          <w:b/>
          <w:color w:val="000000"/>
          <w:sz w:val="18"/>
          <w:szCs w:val="18"/>
        </w:rPr>
        <w:lastRenderedPageBreak/>
        <w:t>Eenmaal overgedragen, blijft overgedragen!</w:t>
      </w:r>
      <w:r w:rsidRPr="001D6626">
        <w:rPr>
          <w:rFonts w:ascii="Verdana" w:eastAsiaTheme="minorHAnsi" w:hAnsi="Verdana"/>
          <w:b/>
          <w:color w:val="000000"/>
          <w:sz w:val="18"/>
          <w:szCs w:val="18"/>
        </w:rPr>
        <w:br/>
      </w:r>
      <w:r w:rsidRPr="001D6626">
        <w:rPr>
          <w:rFonts w:ascii="Verdana" w:eastAsiaTheme="minorHAnsi" w:hAnsi="Verdana"/>
          <w:bCs/>
          <w:color w:val="000000"/>
          <w:sz w:val="18"/>
          <w:szCs w:val="18"/>
        </w:rPr>
        <w:t>Uit de wettekst volgt dat, als het besluit eenmaal is genomen, de taakstelling voor het afgesproken deel overgaat naar de andere gemeente. Bij niet-nakoming door die gemeente kan de overdragende gemeente dus niet meer alsnog aangesproken worden. Er is dus sprake van daadwerkelijke wijziging van de taakstelling. Ook betekent dit dat een besluit tot herverdeling bij voorkeur beperkt moet zijn in reikwijdte (tijd en hoeveelheid). Een besluit betreft in de regel dan ook niet meer dan één taakstellingsperiode</w:t>
      </w:r>
      <w:r w:rsidRPr="001D6626">
        <w:rPr>
          <w:rFonts w:ascii="Verdana" w:eastAsiaTheme="minorHAnsi" w:hAnsi="Verdana"/>
          <w:bCs/>
          <w:color w:val="000000"/>
          <w:sz w:val="18"/>
          <w:szCs w:val="18"/>
          <w:vertAlign w:val="superscript"/>
        </w:rPr>
        <w:footnoteReference w:id="1"/>
      </w:r>
      <w:r w:rsidRPr="001D6626">
        <w:rPr>
          <w:rFonts w:ascii="Verdana" w:eastAsiaTheme="minorHAnsi" w:hAnsi="Verdana"/>
          <w:bCs/>
          <w:color w:val="000000"/>
          <w:sz w:val="18"/>
          <w:szCs w:val="18"/>
        </w:rPr>
        <w:t>.</w:t>
      </w:r>
      <w:r w:rsidRPr="001D6626">
        <w:rPr>
          <w:rFonts w:ascii="Verdana" w:eastAsiaTheme="minorHAnsi" w:hAnsi="Verdana"/>
          <w:color w:val="000000"/>
          <w:sz w:val="18"/>
          <w:szCs w:val="18"/>
        </w:rPr>
        <w:t xml:space="preserve"> </w:t>
      </w:r>
    </w:p>
    <w:p w14:paraId="4D09AFF9" w14:textId="77777777" w:rsidR="001D6626" w:rsidRPr="001D6626" w:rsidRDefault="001D6626" w:rsidP="001D6626">
      <w:pPr>
        <w:numPr>
          <w:ilvl w:val="0"/>
          <w:numId w:val="3"/>
        </w:numPr>
        <w:autoSpaceDE w:val="0"/>
        <w:autoSpaceDN w:val="0"/>
        <w:spacing w:line="240" w:lineRule="atLeast"/>
        <w:contextualSpacing/>
        <w:rPr>
          <w:rFonts w:ascii="Verdana" w:eastAsiaTheme="minorHAnsi" w:hAnsi="Verdana"/>
          <w:color w:val="000000"/>
          <w:sz w:val="18"/>
          <w:szCs w:val="18"/>
        </w:rPr>
      </w:pPr>
      <w:r w:rsidRPr="001D6626">
        <w:rPr>
          <w:rFonts w:ascii="Verdana" w:eastAsiaTheme="minorHAnsi" w:hAnsi="Verdana"/>
          <w:b/>
          <w:color w:val="000000"/>
          <w:sz w:val="18"/>
          <w:szCs w:val="18"/>
        </w:rPr>
        <w:t>Herverdeling moet eenduidig geregistreerd worden!</w:t>
      </w:r>
      <w:r w:rsidRPr="001D6626">
        <w:rPr>
          <w:rFonts w:ascii="Verdana" w:eastAsiaTheme="minorHAnsi" w:hAnsi="Verdana"/>
          <w:color w:val="000000"/>
          <w:sz w:val="18"/>
          <w:szCs w:val="18"/>
        </w:rPr>
        <w:br/>
        <w:t>Er moet volstrekte duidelijkheid zijn over hoeveel vergunninghouders herverdeeld worden. Gemeenten dienen dus een schriftelijk besluit (publiekrechtelijke rechtshandeling!) te nemen.  Van dit besluit dienen zowel het COA (verdeling/matching vergunninghouders) als provincie (toezichthouder) zo spoedig mogelijk, in redelijkheid binnen één week, na bekendmaken van het besluit op de hoogte gesteld te worden. Verantwoordelijkheid voor verspreiden bekendheid besluit ligt dus bij de besluitende gemeenten. Verificatie van de cijfers vindt plaats door het COA. Het COA toetst of de som van de aantallen te huisvesten vergunninghouders klopt. Zo niet, dan brengt het COA de gemeenten op de hoogte om dit recht te laten zetten. Lukt dit niet dan heeft er geen wettelijke herverdeling plaatsgevonden en blijft de bestaande taakstelling bestaan. COA informeert ook provincie als interbestuurlijk toezichthouder.</w:t>
      </w:r>
    </w:p>
    <w:p w14:paraId="07B0C3BE" w14:textId="77777777" w:rsidR="001D6626" w:rsidRPr="001D6626" w:rsidRDefault="001D6626" w:rsidP="001D6626">
      <w:pPr>
        <w:numPr>
          <w:ilvl w:val="0"/>
          <w:numId w:val="3"/>
        </w:numPr>
        <w:autoSpaceDE w:val="0"/>
        <w:autoSpaceDN w:val="0"/>
        <w:spacing w:line="240" w:lineRule="atLeast"/>
        <w:contextualSpacing/>
        <w:rPr>
          <w:rFonts w:ascii="Verdana" w:eastAsiaTheme="minorHAnsi" w:hAnsi="Verdana"/>
          <w:color w:val="000000"/>
          <w:sz w:val="18"/>
          <w:szCs w:val="18"/>
        </w:rPr>
      </w:pPr>
      <w:r w:rsidRPr="001D6626">
        <w:rPr>
          <w:rFonts w:ascii="Verdana" w:eastAsiaTheme="minorHAnsi" w:hAnsi="Verdana"/>
          <w:b/>
          <w:color w:val="000000"/>
          <w:sz w:val="18"/>
          <w:szCs w:val="18"/>
        </w:rPr>
        <w:t>De nieuwe afspraken moeten verwerkt worden in de administratie.</w:t>
      </w:r>
      <w:r w:rsidRPr="001D6626">
        <w:rPr>
          <w:rFonts w:ascii="Verdana" w:eastAsiaTheme="minorHAnsi" w:hAnsi="Verdana"/>
          <w:b/>
          <w:color w:val="000000"/>
          <w:sz w:val="18"/>
          <w:szCs w:val="18"/>
        </w:rPr>
        <w:br/>
      </w:r>
      <w:r w:rsidRPr="001D6626">
        <w:rPr>
          <w:rFonts w:ascii="Verdana" w:eastAsiaTheme="minorHAnsi" w:hAnsi="Verdana"/>
          <w:bCs/>
          <w:color w:val="000000"/>
          <w:sz w:val="18"/>
          <w:szCs w:val="18"/>
        </w:rPr>
        <w:t xml:space="preserve">Het COA houdt de standen voor gemeenten bij. Onderlinge herverdeling dient dan ook door COA in de cijfers verwerkt te worden, binnen één maand na ontvangst in de cijfers terug te vinden zijn. In verband met het opstellen van de taakstelling door het ministerie van V&amp;J, dienen afspraken tot herverdeling ook aan dit ministerie, alsmede aan het ministerie van BZK (verantwoordelijk voor Huisvestingswet) doorgegeven te worden. Voorafgaande toestemming is echter niet vereist. </w:t>
      </w:r>
    </w:p>
    <w:p w14:paraId="23521329" w14:textId="77777777" w:rsidR="001D6626" w:rsidRPr="001D6626" w:rsidRDefault="001D6626" w:rsidP="001D6626">
      <w:pPr>
        <w:autoSpaceDE w:val="0"/>
        <w:autoSpaceDN w:val="0"/>
        <w:spacing w:line="240" w:lineRule="atLeast"/>
        <w:rPr>
          <w:rFonts w:ascii="Verdana" w:eastAsiaTheme="minorHAnsi" w:hAnsi="Verdana"/>
          <w:color w:val="000000"/>
          <w:sz w:val="18"/>
          <w:szCs w:val="18"/>
        </w:rPr>
      </w:pPr>
    </w:p>
    <w:p w14:paraId="1EB5DC25" w14:textId="77777777" w:rsidR="001D6626" w:rsidRPr="001D6626" w:rsidRDefault="001D6626" w:rsidP="001D6626">
      <w:pPr>
        <w:autoSpaceDE w:val="0"/>
        <w:autoSpaceDN w:val="0"/>
        <w:spacing w:line="240" w:lineRule="atLeast"/>
        <w:rPr>
          <w:rFonts w:ascii="Verdana" w:eastAsiaTheme="minorHAnsi" w:hAnsi="Verdana"/>
          <w:vanish/>
          <w:color w:val="000000"/>
          <w:sz w:val="18"/>
          <w:szCs w:val="18"/>
        </w:rPr>
      </w:pPr>
    </w:p>
    <w:p w14:paraId="41CB3F86" w14:textId="77777777" w:rsidR="001D6626" w:rsidRPr="001D6626" w:rsidRDefault="001D6626" w:rsidP="001D6626">
      <w:pPr>
        <w:autoSpaceDE w:val="0"/>
        <w:autoSpaceDN w:val="0"/>
        <w:spacing w:line="240" w:lineRule="atLeast"/>
        <w:rPr>
          <w:rFonts w:ascii="Verdana" w:eastAsiaTheme="minorHAnsi" w:hAnsi="Verdana"/>
          <w:color w:val="000000"/>
          <w:sz w:val="18"/>
          <w:szCs w:val="18"/>
        </w:rPr>
      </w:pPr>
    </w:p>
    <w:p w14:paraId="2D50C77B" w14:textId="77777777" w:rsidR="001D6626" w:rsidRPr="001D6626" w:rsidRDefault="001D6626" w:rsidP="001D6626">
      <w:pPr>
        <w:spacing w:line="240" w:lineRule="auto"/>
        <w:rPr>
          <w:rFonts w:ascii="Verdana" w:eastAsiaTheme="minorHAnsi" w:hAnsi="Verdana" w:cstheme="minorBidi"/>
          <w:sz w:val="18"/>
          <w:szCs w:val="18"/>
          <w:lang w:eastAsia="en-US"/>
        </w:rPr>
      </w:pPr>
    </w:p>
    <w:p w14:paraId="0F017E52" w14:textId="77777777" w:rsidR="001D6626" w:rsidRPr="001D6626" w:rsidRDefault="001D6626" w:rsidP="001D6626">
      <w:pPr>
        <w:spacing w:after="200" w:line="240" w:lineRule="atLeast"/>
        <w:contextualSpacing/>
        <w:rPr>
          <w:rFonts w:ascii="Verdana" w:eastAsiaTheme="minorHAnsi" w:hAnsi="Verdana" w:cstheme="minorBidi"/>
          <w:sz w:val="18"/>
          <w:szCs w:val="18"/>
          <w:lang w:eastAsia="en-US"/>
        </w:rPr>
      </w:pPr>
    </w:p>
    <w:p w14:paraId="4757D1F3" w14:textId="77777777" w:rsidR="00F46C97" w:rsidRPr="009F7B87" w:rsidRDefault="00F46C97" w:rsidP="00F46C97"/>
    <w:sectPr w:rsidR="00F46C97" w:rsidRPr="009F7B87" w:rsidSect="00C96364">
      <w:headerReference w:type="default" r:id="rId22"/>
      <w:footerReference w:type="default" r:id="rId23"/>
      <w:headerReference w:type="first" r:id="rId24"/>
      <w:pgSz w:w="11906" w:h="16838" w:code="9"/>
      <w:pgMar w:top="2325" w:right="3260" w:bottom="1418" w:left="1588"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21924" w14:textId="77777777" w:rsidR="00862600" w:rsidRDefault="00862600" w:rsidP="00C4788F">
      <w:pPr>
        <w:pStyle w:val="Documentstructuur"/>
      </w:pPr>
      <w:r>
        <w:separator/>
      </w:r>
    </w:p>
  </w:endnote>
  <w:endnote w:type="continuationSeparator" w:id="0">
    <w:p w14:paraId="5067C101" w14:textId="77777777" w:rsidR="00862600" w:rsidRDefault="00862600" w:rsidP="00C4788F">
      <w:pPr>
        <w:pStyle w:val="Documentstructuu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Book">
    <w:altName w:val="Century Gothic"/>
    <w:charset w:val="00"/>
    <w:family w:val="swiss"/>
    <w:pitch w:val="variable"/>
    <w:sig w:usb0="80000027" w:usb1="0000004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4440" w14:textId="3B9A4EF6" w:rsidR="009F7B87" w:rsidRPr="00FF4B68" w:rsidRDefault="009F7B87" w:rsidP="00FF4B68">
    <w:pPr>
      <w:pStyle w:val="Voettekst"/>
    </w:pPr>
    <w:r>
      <w:tab/>
    </w:r>
    <w:r>
      <w:tab/>
    </w:r>
    <w:r>
      <w:rPr>
        <w:rStyle w:val="Paginanummer"/>
      </w:rPr>
      <w:fldChar w:fldCharType="begin"/>
    </w:r>
    <w:r>
      <w:rPr>
        <w:rStyle w:val="Paginanummer"/>
      </w:rPr>
      <w:instrText xml:space="preserve"> PAGE </w:instrText>
    </w:r>
    <w:r>
      <w:rPr>
        <w:rStyle w:val="Paginanummer"/>
      </w:rPr>
      <w:fldChar w:fldCharType="separate"/>
    </w:r>
    <w:r w:rsidR="0057586D">
      <w:rPr>
        <w:rStyle w:val="Paginanummer"/>
        <w:noProof/>
      </w:rPr>
      <w:t>5</w:t>
    </w:r>
    <w:r>
      <w:rPr>
        <w:rStyle w:val="Paginanummer"/>
      </w:rPr>
      <w:fldChar w:fldCharType="end"/>
    </w:r>
    <w:r>
      <w:rPr>
        <w:rStyle w:val="Paginanummer"/>
      </w:rPr>
      <w:t>/</w:t>
    </w:r>
    <w:r>
      <w:rPr>
        <w:rStyle w:val="Paginanummer"/>
      </w:rPr>
      <w:fldChar w:fldCharType="begin"/>
    </w:r>
    <w:r>
      <w:rPr>
        <w:rStyle w:val="Paginanummer"/>
      </w:rPr>
      <w:instrText xml:space="preserve"> SECTIONPAGES   \* MERGEFORMAT </w:instrText>
    </w:r>
    <w:r>
      <w:rPr>
        <w:rStyle w:val="Paginanummer"/>
      </w:rPr>
      <w:fldChar w:fldCharType="separate"/>
    </w:r>
    <w:r w:rsidR="00953ADE">
      <w:rPr>
        <w:rStyle w:val="Paginanummer"/>
        <w:noProof/>
      </w:rPr>
      <w:t>6</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DB5DD" w14:textId="77777777" w:rsidR="00862600" w:rsidRDefault="00862600" w:rsidP="00C4788F">
      <w:pPr>
        <w:pStyle w:val="Documentstructuur"/>
      </w:pPr>
      <w:r>
        <w:separator/>
      </w:r>
    </w:p>
  </w:footnote>
  <w:footnote w:type="continuationSeparator" w:id="0">
    <w:p w14:paraId="43E4B79B" w14:textId="77777777" w:rsidR="00862600" w:rsidRDefault="00862600" w:rsidP="00C4788F">
      <w:pPr>
        <w:pStyle w:val="Documentstructuur"/>
      </w:pPr>
      <w:r>
        <w:continuationSeparator/>
      </w:r>
    </w:p>
  </w:footnote>
  <w:footnote w:id="1">
    <w:p w14:paraId="35E1C540" w14:textId="15A2C3FB" w:rsidR="001D6626" w:rsidRDefault="001D6626" w:rsidP="001D6626">
      <w:pPr>
        <w:pStyle w:val="Voetnoottekst"/>
      </w:pPr>
      <w:r>
        <w:rPr>
          <w:rStyle w:val="Voetnootmarkering"/>
        </w:rPr>
        <w:footnoteRef/>
      </w:r>
      <w:r>
        <w:t xml:space="preserve"> Daarvan kan in overleg met COA/</w:t>
      </w:r>
      <w:r w:rsidR="001F0928">
        <w:t>J&amp;V</w:t>
      </w:r>
      <w:r>
        <w:t xml:space="preserve">/BZK afgeweken worden. Dat gebeurt in bijzondere gevallen, zoals bij de Waddeneilanden en Rozendaal.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282" w14:textId="77777777" w:rsidR="001D6626" w:rsidRPr="001D6626" w:rsidRDefault="001D6626" w:rsidP="001D6626">
    <w:pPr>
      <w:tabs>
        <w:tab w:val="center" w:pos="4536"/>
        <w:tab w:val="right" w:pos="9072"/>
      </w:tabs>
      <w:spacing w:line="240" w:lineRule="auto"/>
      <w:jc w:val="right"/>
      <w:rPr>
        <w:rFonts w:asciiTheme="minorHAnsi" w:eastAsiaTheme="minorHAnsi" w:hAnsiTheme="minorHAnsi" w:cstheme="minorBidi"/>
        <w:sz w:val="22"/>
        <w:szCs w:val="22"/>
        <w:lang w:eastAsia="en-US"/>
      </w:rPr>
    </w:pPr>
    <w:r w:rsidRPr="001D6626">
      <w:rPr>
        <w:rFonts w:asciiTheme="minorHAnsi" w:eastAsiaTheme="minorHAnsi" w:hAnsiTheme="minorHAnsi" w:cstheme="minorBidi"/>
        <w:sz w:val="22"/>
        <w:szCs w:val="22"/>
        <w:lang w:eastAsia="en-US"/>
      </w:rPr>
      <w:tab/>
    </w:r>
    <w:r w:rsidRPr="001D6626">
      <w:rPr>
        <w:rFonts w:asciiTheme="minorHAnsi" w:eastAsiaTheme="minorHAnsi" w:hAnsiTheme="minorHAnsi" w:cstheme="minorBidi"/>
        <w:sz w:val="22"/>
        <w:szCs w:val="22"/>
        <w:lang w:eastAsia="en-US"/>
      </w:rPr>
      <w:tab/>
    </w:r>
  </w:p>
  <w:p w14:paraId="56BC6CF7" w14:textId="77777777" w:rsidR="001D6626" w:rsidRPr="001D6626" w:rsidRDefault="001D6626" w:rsidP="001D6626">
    <w:pPr>
      <w:tabs>
        <w:tab w:val="center" w:pos="4536"/>
        <w:tab w:val="right" w:pos="9072"/>
      </w:tabs>
      <w:spacing w:line="240" w:lineRule="auto"/>
      <w:rPr>
        <w:rFonts w:asciiTheme="minorHAnsi" w:eastAsiaTheme="minorHAnsi" w:hAnsiTheme="minorHAnsi" w:cstheme="minorBidi"/>
        <w:sz w:val="22"/>
        <w:szCs w:val="22"/>
        <w:lang w:eastAsia="en-US"/>
      </w:rPr>
    </w:pPr>
  </w:p>
  <w:p w14:paraId="15AD3479" w14:textId="77777777" w:rsidR="001D6626" w:rsidRPr="001D6626" w:rsidRDefault="001D6626" w:rsidP="001D6626">
    <w:pPr>
      <w:tabs>
        <w:tab w:val="center" w:pos="4536"/>
        <w:tab w:val="right" w:pos="9072"/>
      </w:tabs>
      <w:spacing w:line="240" w:lineRule="auto"/>
      <w:rPr>
        <w:rFonts w:asciiTheme="minorHAnsi" w:eastAsiaTheme="minorHAnsi" w:hAnsiTheme="minorHAnsi" w:cstheme="minorBidi"/>
        <w:sz w:val="22"/>
        <w:szCs w:val="22"/>
        <w:lang w:eastAsia="en-US"/>
      </w:rPr>
    </w:pPr>
  </w:p>
  <w:p w14:paraId="30C2B949" w14:textId="77777777" w:rsidR="001D6626" w:rsidRDefault="001D66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AC96" w14:textId="77777777" w:rsidR="009F7B87" w:rsidRDefault="00EC2B04" w:rsidP="009E2BD2">
    <w:r>
      <w:rPr>
        <w:noProof/>
      </w:rPr>
      <w:drawing>
        <wp:anchor distT="0" distB="0" distL="114300" distR="114300" simplePos="0" relativeHeight="251657728" behindDoc="1" locked="0" layoutInCell="1" allowOverlap="1" wp14:anchorId="69BF4DFB" wp14:editId="6B1F969C">
          <wp:simplePos x="0" y="0"/>
          <wp:positionH relativeFrom="page">
            <wp:posOffset>252095</wp:posOffset>
          </wp:positionH>
          <wp:positionV relativeFrom="page">
            <wp:posOffset>252095</wp:posOffset>
          </wp:positionV>
          <wp:extent cx="2013585" cy="25273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13585" cy="252730"/>
                  </a:xfrm>
                  <a:prstGeom prst="rect">
                    <a:avLst/>
                  </a:prstGeom>
                  <a:noFill/>
                </pic:spPr>
              </pic:pic>
            </a:graphicData>
          </a:graphic>
          <wp14:sizeRelH relativeFrom="page">
            <wp14:pctWidth>0</wp14:pctWidth>
          </wp14:sizeRelH>
          <wp14:sizeRelV relativeFrom="page">
            <wp14:pctHeight>0</wp14:pctHeight>
          </wp14:sizeRelV>
        </wp:anchor>
      </w:drawing>
    </w:r>
    <w:r w:rsidR="009F7B87" w:rsidRPr="00DB1361">
      <w:rPr>
        <w:color w:val="FFFFFF"/>
      </w:rPr>
      <w:t xml:space="preserve"> </w:t>
    </w:r>
  </w:p>
  <w:p w14:paraId="29749F08" w14:textId="77777777" w:rsidR="009F7B87" w:rsidRDefault="009F7B87" w:rsidP="007E0572">
    <w:pPr>
      <w:pStyle w:val="Adressering"/>
    </w:pPr>
  </w:p>
  <w:p w14:paraId="7A05B3A5" w14:textId="77777777" w:rsidR="009F7B87" w:rsidRDefault="009F7B87" w:rsidP="007E0572">
    <w:pPr>
      <w:pStyle w:val="Adressering"/>
    </w:pPr>
  </w:p>
  <w:p w14:paraId="47C9B48E" w14:textId="77777777" w:rsidR="009F7B87" w:rsidRDefault="009F7B87" w:rsidP="007E0572">
    <w:pPr>
      <w:pStyle w:val="Adressering"/>
    </w:pPr>
  </w:p>
  <w:p w14:paraId="20208FEB" w14:textId="77777777" w:rsidR="009F7B87" w:rsidRPr="00F16E15" w:rsidRDefault="009F7B87" w:rsidP="005B6C21">
    <w:pPr>
      <w:pStyle w:val="Adressering"/>
      <w:spacing w:line="240" w:lineRule="exact"/>
    </w:pPr>
  </w:p>
  <w:tbl>
    <w:tblPr>
      <w:tblW w:w="0" w:type="auto"/>
      <w:tblLook w:val="01E0" w:firstRow="1" w:lastRow="1" w:firstColumn="1" w:lastColumn="1" w:noHBand="0" w:noVBand="0"/>
    </w:tblPr>
    <w:tblGrid>
      <w:gridCol w:w="7058"/>
    </w:tblGrid>
    <w:tr w:rsidR="009F7B87" w:rsidRPr="00E9045A" w14:paraId="419FDB1E" w14:textId="77777777" w:rsidTr="003C71DB">
      <w:tc>
        <w:tcPr>
          <w:tcW w:w="7198" w:type="dxa"/>
          <w:shd w:val="clear" w:color="auto" w:fill="auto"/>
        </w:tcPr>
        <w:p w14:paraId="1C3DE62B" w14:textId="77777777" w:rsidR="009F7B87" w:rsidRPr="003C71DB" w:rsidRDefault="009F7B87" w:rsidP="00C4788F">
          <w:pPr>
            <w:pStyle w:val="Adressering"/>
            <w:rPr>
              <w:b/>
              <w:sz w:val="26"/>
              <w:szCs w:val="26"/>
            </w:rPr>
          </w:pPr>
          <w:r>
            <w:rPr>
              <w:b/>
              <w:sz w:val="26"/>
              <w:szCs w:val="26"/>
            </w:rPr>
            <w:t>Best Practices</w:t>
          </w:r>
        </w:p>
        <w:p w14:paraId="0DB3B127" w14:textId="77777777" w:rsidR="009F7B87" w:rsidRPr="003C71DB" w:rsidRDefault="009F7B87" w:rsidP="00C4788F">
          <w:pPr>
            <w:pStyle w:val="Adressering"/>
            <w:rPr>
              <w:b/>
              <w:sz w:val="26"/>
              <w:szCs w:val="26"/>
            </w:rPr>
          </w:pPr>
        </w:p>
      </w:tc>
    </w:tr>
  </w:tbl>
  <w:p w14:paraId="2CA5DF59" w14:textId="77777777" w:rsidR="009F7B87" w:rsidRPr="00092727" w:rsidRDefault="009F7B87" w:rsidP="00092727">
    <w:pPr>
      <w:rPr>
        <w:vanish/>
      </w:rPr>
    </w:pP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43"/>
    </w:tblGrid>
    <w:tr w:rsidR="009F7B87" w:rsidRPr="000B32AC" w14:paraId="3DDA53A8" w14:textId="77777777" w:rsidTr="00C43574">
      <w:trPr>
        <w:trHeight w:val="556"/>
      </w:trPr>
      <w:tc>
        <w:tcPr>
          <w:tcW w:w="2143" w:type="dxa"/>
        </w:tcPr>
        <w:p w14:paraId="72761DD0" w14:textId="77777777" w:rsidR="009F7B87" w:rsidRPr="00962916" w:rsidRDefault="009F7B87" w:rsidP="00C43574">
          <w:pPr>
            <w:keepNext/>
            <w:framePr w:hSpace="181" w:wrap="around" w:vAnchor="page" w:hAnchor="page" w:x="9195" w:y="2938"/>
            <w:spacing w:line="284" w:lineRule="exact"/>
            <w:rPr>
              <w:b/>
              <w:sz w:val="14"/>
            </w:rPr>
          </w:pPr>
          <w:r w:rsidRPr="00962916">
            <w:rPr>
              <w:b/>
              <w:sz w:val="14"/>
            </w:rPr>
            <w:t>Datum</w:t>
          </w:r>
        </w:p>
        <w:p w14:paraId="3862B584" w14:textId="77777777" w:rsidR="009F7B87" w:rsidRPr="000B32AC" w:rsidRDefault="003F493B" w:rsidP="000B32AC">
          <w:pPr>
            <w:framePr w:hSpace="181" w:wrap="around" w:vAnchor="page" w:hAnchor="page" w:x="9195" w:y="2938"/>
            <w:spacing w:line="284" w:lineRule="exact"/>
            <w:rPr>
              <w:sz w:val="16"/>
              <w:szCs w:val="16"/>
            </w:rPr>
          </w:pPr>
          <w:r w:rsidRPr="000B32AC">
            <w:rPr>
              <w:sz w:val="16"/>
              <w:szCs w:val="16"/>
            </w:rPr>
            <w:t>24 februari 2015, laats</w:t>
          </w:r>
          <w:r>
            <w:rPr>
              <w:sz w:val="16"/>
              <w:szCs w:val="16"/>
            </w:rPr>
            <w:t>t</w:t>
          </w:r>
          <w:r w:rsidRPr="000B32AC">
            <w:rPr>
              <w:sz w:val="16"/>
              <w:szCs w:val="16"/>
            </w:rPr>
            <w:t>e aanvulling op 2</w:t>
          </w:r>
          <w:r>
            <w:rPr>
              <w:sz w:val="16"/>
              <w:szCs w:val="16"/>
            </w:rPr>
            <w:t>5 sept 2018</w:t>
          </w:r>
        </w:p>
      </w:tc>
    </w:tr>
    <w:tr w:rsidR="009F7B87" w:rsidRPr="00E876D6" w14:paraId="7FB978AD" w14:textId="77777777" w:rsidTr="00C43574">
      <w:trPr>
        <w:trHeight w:val="556"/>
      </w:trPr>
      <w:tc>
        <w:tcPr>
          <w:tcW w:w="2143" w:type="dxa"/>
        </w:tcPr>
        <w:p w14:paraId="7BC8318A" w14:textId="77777777" w:rsidR="009F7B87" w:rsidRPr="00E876D6" w:rsidRDefault="009F7B87" w:rsidP="00C43574">
          <w:pPr>
            <w:keepNext/>
            <w:framePr w:hSpace="181" w:wrap="around" w:vAnchor="page" w:hAnchor="page" w:x="9195" w:y="2938"/>
            <w:spacing w:line="284" w:lineRule="exact"/>
            <w:rPr>
              <w:b/>
              <w:sz w:val="14"/>
            </w:rPr>
          </w:pPr>
          <w:r w:rsidRPr="00E876D6">
            <w:rPr>
              <w:b/>
              <w:sz w:val="14"/>
            </w:rPr>
            <w:t>Contactpersoon</w:t>
          </w:r>
        </w:p>
        <w:p w14:paraId="4A216F59" w14:textId="77777777" w:rsidR="009F7B87" w:rsidRPr="00E876D6" w:rsidRDefault="009F7B87" w:rsidP="00C43574">
          <w:pPr>
            <w:framePr w:hSpace="181" w:wrap="around" w:vAnchor="page" w:hAnchor="page" w:x="9195" w:y="2938"/>
            <w:tabs>
              <w:tab w:val="clear" w:pos="-1701"/>
              <w:tab w:val="clear" w:pos="-1134"/>
              <w:tab w:val="clear" w:pos="-567"/>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rPr>
              <w:sz w:val="16"/>
              <w:szCs w:val="16"/>
            </w:rPr>
          </w:pPr>
          <w:r>
            <w:rPr>
              <w:sz w:val="16"/>
              <w:szCs w:val="16"/>
            </w:rPr>
            <w:t>Team IBT huisvesting vergunninghouders</w:t>
          </w:r>
        </w:p>
      </w:tc>
    </w:tr>
    <w:tr w:rsidR="009F7B87" w:rsidRPr="00E876D6" w14:paraId="1B087DFD" w14:textId="77777777" w:rsidTr="00C43574">
      <w:trPr>
        <w:trHeight w:val="556"/>
      </w:trPr>
      <w:tc>
        <w:tcPr>
          <w:tcW w:w="2143" w:type="dxa"/>
        </w:tcPr>
        <w:p w14:paraId="095792C4" w14:textId="77777777" w:rsidR="009F7B87" w:rsidRPr="00E876D6" w:rsidRDefault="009F7B87" w:rsidP="00C43574">
          <w:pPr>
            <w:keepNext/>
            <w:framePr w:hSpace="181" w:wrap="around" w:vAnchor="page" w:hAnchor="page" w:x="9195" w:y="2938"/>
            <w:spacing w:line="284" w:lineRule="exact"/>
            <w:rPr>
              <w:b/>
              <w:sz w:val="14"/>
            </w:rPr>
          </w:pPr>
          <w:r w:rsidRPr="00E876D6">
            <w:rPr>
              <w:b/>
              <w:sz w:val="14"/>
            </w:rPr>
            <w:t>Telefoon</w:t>
          </w:r>
        </w:p>
        <w:p w14:paraId="7FA61DE0" w14:textId="77777777" w:rsidR="009F7B87" w:rsidRDefault="009F7B87" w:rsidP="00C43574">
          <w:pPr>
            <w:framePr w:hSpace="181" w:wrap="around" w:vAnchor="page" w:hAnchor="page" w:x="9195" w:y="2938"/>
            <w:tabs>
              <w:tab w:val="clear" w:pos="-1701"/>
              <w:tab w:val="clear" w:pos="-1134"/>
              <w:tab w:val="clear" w:pos="-567"/>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rPr>
              <w:sz w:val="16"/>
              <w:szCs w:val="16"/>
            </w:rPr>
          </w:pPr>
          <w:r>
            <w:rPr>
              <w:sz w:val="16"/>
              <w:szCs w:val="16"/>
            </w:rPr>
            <w:t>(073) 681 2059</w:t>
          </w:r>
        </w:p>
        <w:p w14:paraId="22D50ED1" w14:textId="77777777" w:rsidR="009F7B87" w:rsidRDefault="009F7B87" w:rsidP="00C43574">
          <w:pPr>
            <w:framePr w:hSpace="181" w:wrap="around" w:vAnchor="page" w:hAnchor="page" w:x="9195" w:y="2938"/>
            <w:tabs>
              <w:tab w:val="clear" w:pos="-1701"/>
              <w:tab w:val="clear" w:pos="-1134"/>
              <w:tab w:val="clear" w:pos="-567"/>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rPr>
              <w:sz w:val="16"/>
              <w:szCs w:val="16"/>
            </w:rPr>
          </w:pPr>
          <w:r>
            <w:rPr>
              <w:sz w:val="16"/>
              <w:szCs w:val="16"/>
            </w:rPr>
            <w:t>(073) 681 2015</w:t>
          </w:r>
        </w:p>
        <w:p w14:paraId="62A625E4" w14:textId="77777777" w:rsidR="009F7B87" w:rsidRPr="00776740" w:rsidRDefault="009F7B87" w:rsidP="00C43574">
          <w:pPr>
            <w:framePr w:hSpace="181" w:wrap="around" w:vAnchor="page" w:hAnchor="page" w:x="9195" w:y="2938"/>
            <w:tabs>
              <w:tab w:val="clear" w:pos="-1701"/>
              <w:tab w:val="clear" w:pos="-1134"/>
              <w:tab w:val="clear" w:pos="-567"/>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rPr>
              <w:sz w:val="16"/>
              <w:szCs w:val="16"/>
            </w:rPr>
          </w:pPr>
          <w:r>
            <w:rPr>
              <w:sz w:val="16"/>
              <w:szCs w:val="16"/>
            </w:rPr>
            <w:t>(073) 681 2520</w:t>
          </w:r>
        </w:p>
      </w:tc>
    </w:tr>
    <w:tr w:rsidR="009F7B87" w:rsidRPr="00E876D6" w14:paraId="40751900" w14:textId="77777777" w:rsidTr="00C43574">
      <w:trPr>
        <w:trHeight w:val="556"/>
      </w:trPr>
      <w:tc>
        <w:tcPr>
          <w:tcW w:w="2143" w:type="dxa"/>
        </w:tcPr>
        <w:p w14:paraId="2FD60470" w14:textId="77777777" w:rsidR="009F7B87" w:rsidRPr="00E876D6" w:rsidRDefault="009F7B87" w:rsidP="00C43574">
          <w:pPr>
            <w:framePr w:hSpace="181" w:wrap="around" w:vAnchor="page" w:hAnchor="page" w:x="9195" w:y="2938"/>
            <w:tabs>
              <w:tab w:val="clear" w:pos="-1701"/>
              <w:tab w:val="clear" w:pos="-1134"/>
              <w:tab w:val="clear" w:pos="-567"/>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rPr>
              <w:sz w:val="16"/>
              <w:szCs w:val="16"/>
            </w:rPr>
          </w:pPr>
        </w:p>
      </w:tc>
    </w:tr>
    <w:tr w:rsidR="009F7B87" w:rsidRPr="00E876D6" w14:paraId="0C318E44" w14:textId="77777777" w:rsidTr="00C43574">
      <w:trPr>
        <w:trHeight w:val="80"/>
      </w:trPr>
      <w:tc>
        <w:tcPr>
          <w:tcW w:w="2143" w:type="dxa"/>
        </w:tcPr>
        <w:p w14:paraId="674CE672" w14:textId="77777777" w:rsidR="009F7B87" w:rsidRPr="00E876D6" w:rsidRDefault="009F7B87" w:rsidP="00C43574">
          <w:pPr>
            <w:framePr w:hSpace="181" w:wrap="around" w:vAnchor="page" w:hAnchor="page" w:x="9195" w:y="2938"/>
            <w:tabs>
              <w:tab w:val="clear" w:pos="-1701"/>
              <w:tab w:val="clear" w:pos="-1134"/>
              <w:tab w:val="clear" w:pos="-567"/>
              <w:tab w:val="clear" w:pos="0"/>
              <w:tab w:val="clear" w:pos="567"/>
              <w:tab w:val="clear" w:pos="1134"/>
              <w:tab w:val="clear" w:pos="1701"/>
              <w:tab w:val="clear" w:pos="2268"/>
              <w:tab w:val="clear" w:pos="2835"/>
              <w:tab w:val="clear" w:pos="3402"/>
              <w:tab w:val="clear" w:pos="3969"/>
              <w:tab w:val="clear" w:pos="4535"/>
              <w:tab w:val="clear" w:pos="5102"/>
              <w:tab w:val="clear" w:pos="5669"/>
              <w:tab w:val="clear" w:pos="6236"/>
              <w:tab w:val="clear" w:pos="6803"/>
              <w:tab w:val="clear" w:pos="7370"/>
              <w:tab w:val="clear" w:pos="7937"/>
              <w:tab w:val="clear" w:pos="8504"/>
              <w:tab w:val="clear" w:pos="9071"/>
              <w:tab w:val="clear" w:pos="9638"/>
              <w:tab w:val="clear" w:pos="10205"/>
            </w:tabs>
            <w:rPr>
              <w:sz w:val="16"/>
            </w:rPr>
          </w:pPr>
        </w:p>
      </w:tc>
    </w:tr>
  </w:tbl>
  <w:p w14:paraId="642B7AED" w14:textId="77777777" w:rsidR="009F7B87" w:rsidRPr="00F071A6" w:rsidRDefault="009F7B87" w:rsidP="009E2BD2">
    <w:pPr>
      <w:pStyle w:val="referentiekop"/>
    </w:pPr>
    <w:r w:rsidRPr="00F071A6">
      <w:t>Onderwerp</w:t>
    </w:r>
  </w:p>
  <w:p w14:paraId="7317C716" w14:textId="77777777" w:rsidR="009F7B87" w:rsidRDefault="009F7B87" w:rsidP="009E2BD2">
    <w:r>
      <w:t xml:space="preserve">Huisvesting vergunninghouders  </w:t>
    </w:r>
  </w:p>
  <w:p w14:paraId="723D93E5" w14:textId="77777777" w:rsidR="009F7B87" w:rsidRDefault="009F7B87">
    <w:pPr>
      <w:pStyle w:val="Koptekst"/>
    </w:pPr>
  </w:p>
  <w:p w14:paraId="3F5FB09A" w14:textId="77777777" w:rsidR="009F7B87" w:rsidRDefault="009F7B87">
    <w:pPr>
      <w:pStyle w:val="Koptekst"/>
    </w:pPr>
  </w:p>
  <w:p w14:paraId="5506D9E3" w14:textId="77777777" w:rsidR="009F7B87" w:rsidRDefault="009F7B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B4122"/>
    <w:multiLevelType w:val="hybridMultilevel"/>
    <w:tmpl w:val="2D383988"/>
    <w:lvl w:ilvl="0" w:tplc="8C00422E">
      <w:start w:val="7"/>
      <w:numFmt w:val="bullet"/>
      <w:lvlText w:val="-"/>
      <w:lvlJc w:val="left"/>
      <w:pPr>
        <w:ind w:left="1065" w:hanging="360"/>
      </w:pPr>
      <w:rPr>
        <w:rFonts w:ascii="Futura Book" w:eastAsia="Times New Roman" w:hAnsi="Futura Book"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2B13C80"/>
    <w:multiLevelType w:val="multilevel"/>
    <w:tmpl w:val="60E23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6497C"/>
    <w:multiLevelType w:val="multilevel"/>
    <w:tmpl w:val="B54E0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E04A6"/>
    <w:multiLevelType w:val="hybridMultilevel"/>
    <w:tmpl w:val="0AF0FA54"/>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5890487B"/>
    <w:multiLevelType w:val="hybridMultilevel"/>
    <w:tmpl w:val="A56A61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EF746CA"/>
    <w:multiLevelType w:val="hybridMultilevel"/>
    <w:tmpl w:val="3C98E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FE5C99"/>
    <w:multiLevelType w:val="hybridMultilevel"/>
    <w:tmpl w:val="59F0E654"/>
    <w:lvl w:ilvl="0" w:tplc="B6042BD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RSA_DOCUMENT_ID" w:val="3785262"/>
    <w:docVar w:name="SMARTDOCUMENTSID" w:val="+Root"/>
  </w:docVars>
  <w:rsids>
    <w:rsidRoot w:val="009E2BD2"/>
    <w:rsid w:val="000117F7"/>
    <w:rsid w:val="00013212"/>
    <w:rsid w:val="000322DE"/>
    <w:rsid w:val="000363FB"/>
    <w:rsid w:val="000368F4"/>
    <w:rsid w:val="00077800"/>
    <w:rsid w:val="0008731E"/>
    <w:rsid w:val="00092727"/>
    <w:rsid w:val="000A552F"/>
    <w:rsid w:val="000A62E9"/>
    <w:rsid w:val="000B323F"/>
    <w:rsid w:val="000B32AC"/>
    <w:rsid w:val="000C3AE4"/>
    <w:rsid w:val="000C575A"/>
    <w:rsid w:val="000C6065"/>
    <w:rsid w:val="000D7FC3"/>
    <w:rsid w:val="001019C3"/>
    <w:rsid w:val="00105550"/>
    <w:rsid w:val="00110D3C"/>
    <w:rsid w:val="00127D44"/>
    <w:rsid w:val="00137F06"/>
    <w:rsid w:val="001A08EB"/>
    <w:rsid w:val="001A18B4"/>
    <w:rsid w:val="001A2C6A"/>
    <w:rsid w:val="001D6626"/>
    <w:rsid w:val="001F0928"/>
    <w:rsid w:val="00201E53"/>
    <w:rsid w:val="00205EF5"/>
    <w:rsid w:val="002357B5"/>
    <w:rsid w:val="002371F2"/>
    <w:rsid w:val="002615A3"/>
    <w:rsid w:val="0029202C"/>
    <w:rsid w:val="002A6B66"/>
    <w:rsid w:val="002C3682"/>
    <w:rsid w:val="002F634C"/>
    <w:rsid w:val="0032617F"/>
    <w:rsid w:val="003475CC"/>
    <w:rsid w:val="0036306B"/>
    <w:rsid w:val="00366435"/>
    <w:rsid w:val="00374798"/>
    <w:rsid w:val="0037621C"/>
    <w:rsid w:val="00385E12"/>
    <w:rsid w:val="003939F5"/>
    <w:rsid w:val="003B7FA0"/>
    <w:rsid w:val="003C71DB"/>
    <w:rsid w:val="003E3689"/>
    <w:rsid w:val="003F3569"/>
    <w:rsid w:val="003F493B"/>
    <w:rsid w:val="0040174F"/>
    <w:rsid w:val="00415559"/>
    <w:rsid w:val="00434B82"/>
    <w:rsid w:val="0043653C"/>
    <w:rsid w:val="00447BBF"/>
    <w:rsid w:val="00452D61"/>
    <w:rsid w:val="004554FF"/>
    <w:rsid w:val="0045713E"/>
    <w:rsid w:val="004604E8"/>
    <w:rsid w:val="00464B5E"/>
    <w:rsid w:val="00471980"/>
    <w:rsid w:val="004C1A15"/>
    <w:rsid w:val="004C760B"/>
    <w:rsid w:val="004E1C00"/>
    <w:rsid w:val="004F5584"/>
    <w:rsid w:val="004F76B8"/>
    <w:rsid w:val="004F774D"/>
    <w:rsid w:val="00507D38"/>
    <w:rsid w:val="00513BB1"/>
    <w:rsid w:val="00525E74"/>
    <w:rsid w:val="00543DF7"/>
    <w:rsid w:val="0057586D"/>
    <w:rsid w:val="00594B9F"/>
    <w:rsid w:val="005A406A"/>
    <w:rsid w:val="005B6C21"/>
    <w:rsid w:val="005C3088"/>
    <w:rsid w:val="005C4B1F"/>
    <w:rsid w:val="005D21F1"/>
    <w:rsid w:val="005F7836"/>
    <w:rsid w:val="006243AF"/>
    <w:rsid w:val="00633172"/>
    <w:rsid w:val="00634277"/>
    <w:rsid w:val="0065468D"/>
    <w:rsid w:val="006559C7"/>
    <w:rsid w:val="00677752"/>
    <w:rsid w:val="006A76A3"/>
    <w:rsid w:val="006B710A"/>
    <w:rsid w:val="006D2828"/>
    <w:rsid w:val="00713C4F"/>
    <w:rsid w:val="0072505A"/>
    <w:rsid w:val="00740931"/>
    <w:rsid w:val="00776740"/>
    <w:rsid w:val="00777478"/>
    <w:rsid w:val="00782B34"/>
    <w:rsid w:val="007A7B10"/>
    <w:rsid w:val="007B4D58"/>
    <w:rsid w:val="007C0F4F"/>
    <w:rsid w:val="007E0572"/>
    <w:rsid w:val="00801E70"/>
    <w:rsid w:val="0080247E"/>
    <w:rsid w:val="0080317F"/>
    <w:rsid w:val="00805A20"/>
    <w:rsid w:val="00832929"/>
    <w:rsid w:val="008424F4"/>
    <w:rsid w:val="00862600"/>
    <w:rsid w:val="00863976"/>
    <w:rsid w:val="0087575B"/>
    <w:rsid w:val="008839AF"/>
    <w:rsid w:val="0088486F"/>
    <w:rsid w:val="00894F14"/>
    <w:rsid w:val="008A2AD0"/>
    <w:rsid w:val="008A2EC4"/>
    <w:rsid w:val="008A5D86"/>
    <w:rsid w:val="008B1399"/>
    <w:rsid w:val="00901469"/>
    <w:rsid w:val="00905EA3"/>
    <w:rsid w:val="009277BA"/>
    <w:rsid w:val="009309B5"/>
    <w:rsid w:val="00953ADE"/>
    <w:rsid w:val="00962916"/>
    <w:rsid w:val="009664A8"/>
    <w:rsid w:val="00981527"/>
    <w:rsid w:val="009905C2"/>
    <w:rsid w:val="00996EEC"/>
    <w:rsid w:val="009B2D7B"/>
    <w:rsid w:val="009D2824"/>
    <w:rsid w:val="009D432F"/>
    <w:rsid w:val="009D748C"/>
    <w:rsid w:val="009E2BD2"/>
    <w:rsid w:val="009F7B87"/>
    <w:rsid w:val="00A13152"/>
    <w:rsid w:val="00A17D08"/>
    <w:rsid w:val="00A223D2"/>
    <w:rsid w:val="00A23C32"/>
    <w:rsid w:val="00A269CB"/>
    <w:rsid w:val="00A34108"/>
    <w:rsid w:val="00A431C2"/>
    <w:rsid w:val="00A72C08"/>
    <w:rsid w:val="00A74736"/>
    <w:rsid w:val="00A92DE8"/>
    <w:rsid w:val="00AB24D1"/>
    <w:rsid w:val="00AC53E9"/>
    <w:rsid w:val="00AC5EFF"/>
    <w:rsid w:val="00AD25D4"/>
    <w:rsid w:val="00AF628D"/>
    <w:rsid w:val="00AF6DDD"/>
    <w:rsid w:val="00B01D69"/>
    <w:rsid w:val="00B04F01"/>
    <w:rsid w:val="00B1224B"/>
    <w:rsid w:val="00B12BCE"/>
    <w:rsid w:val="00B17101"/>
    <w:rsid w:val="00B22329"/>
    <w:rsid w:val="00B23FE0"/>
    <w:rsid w:val="00B33C06"/>
    <w:rsid w:val="00B71DE0"/>
    <w:rsid w:val="00B81584"/>
    <w:rsid w:val="00B84624"/>
    <w:rsid w:val="00B94760"/>
    <w:rsid w:val="00BA0768"/>
    <w:rsid w:val="00BB11C4"/>
    <w:rsid w:val="00BB5C19"/>
    <w:rsid w:val="00BC40A4"/>
    <w:rsid w:val="00BD23E8"/>
    <w:rsid w:val="00BD5DB4"/>
    <w:rsid w:val="00BE1736"/>
    <w:rsid w:val="00BE4C77"/>
    <w:rsid w:val="00BF7374"/>
    <w:rsid w:val="00C10C95"/>
    <w:rsid w:val="00C210DA"/>
    <w:rsid w:val="00C22D9B"/>
    <w:rsid w:val="00C42B8E"/>
    <w:rsid w:val="00C43574"/>
    <w:rsid w:val="00C4788F"/>
    <w:rsid w:val="00C47E75"/>
    <w:rsid w:val="00C54B02"/>
    <w:rsid w:val="00C642EE"/>
    <w:rsid w:val="00C669FC"/>
    <w:rsid w:val="00C80AA8"/>
    <w:rsid w:val="00C96364"/>
    <w:rsid w:val="00CA3A34"/>
    <w:rsid w:val="00CC533C"/>
    <w:rsid w:val="00CD24C9"/>
    <w:rsid w:val="00CD7A69"/>
    <w:rsid w:val="00CE2E6A"/>
    <w:rsid w:val="00D02D05"/>
    <w:rsid w:val="00D130D0"/>
    <w:rsid w:val="00D147C2"/>
    <w:rsid w:val="00D37EAE"/>
    <w:rsid w:val="00D62143"/>
    <w:rsid w:val="00D862D2"/>
    <w:rsid w:val="00D87E69"/>
    <w:rsid w:val="00D92F32"/>
    <w:rsid w:val="00DA204F"/>
    <w:rsid w:val="00DA6ADA"/>
    <w:rsid w:val="00DC51BA"/>
    <w:rsid w:val="00DD1638"/>
    <w:rsid w:val="00DD1C58"/>
    <w:rsid w:val="00DF6AD6"/>
    <w:rsid w:val="00E07F21"/>
    <w:rsid w:val="00E2052B"/>
    <w:rsid w:val="00E22958"/>
    <w:rsid w:val="00E23D92"/>
    <w:rsid w:val="00E43614"/>
    <w:rsid w:val="00E478AD"/>
    <w:rsid w:val="00E631CF"/>
    <w:rsid w:val="00E9045A"/>
    <w:rsid w:val="00EC2B04"/>
    <w:rsid w:val="00EC42A2"/>
    <w:rsid w:val="00ED046A"/>
    <w:rsid w:val="00EE29F3"/>
    <w:rsid w:val="00EE3DCE"/>
    <w:rsid w:val="00F14F70"/>
    <w:rsid w:val="00F16E15"/>
    <w:rsid w:val="00F357E6"/>
    <w:rsid w:val="00F401D9"/>
    <w:rsid w:val="00F44712"/>
    <w:rsid w:val="00F46C97"/>
    <w:rsid w:val="00F5192F"/>
    <w:rsid w:val="00F52563"/>
    <w:rsid w:val="00F53EA3"/>
    <w:rsid w:val="00F546F1"/>
    <w:rsid w:val="00F6538C"/>
    <w:rsid w:val="00F92A94"/>
    <w:rsid w:val="00FC7803"/>
    <w:rsid w:val="00FE2B3C"/>
    <w:rsid w:val="00FF4B68"/>
    <w:rsid w:val="00FF60D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BA111"/>
  <w15:docId w15:val="{BB891611-D98F-4782-98F8-7A685ACA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204F"/>
    <w:pPr>
      <w:spacing w:line="284" w:lineRule="atLeast"/>
    </w:pPr>
    <w:rPr>
      <w:rFonts w:ascii="Futura Book" w:hAnsi="Futura Book"/>
    </w:rPr>
  </w:style>
  <w:style w:type="paragraph" w:styleId="Kop1">
    <w:name w:val="heading 1"/>
    <w:basedOn w:val="Standaard"/>
    <w:next w:val="Standaard"/>
    <w:qFormat/>
    <w:rsid w:val="007E0572"/>
    <w:pPr>
      <w:keepNext/>
      <w:spacing w:before="240" w:after="60"/>
      <w:outlineLvl w:val="0"/>
    </w:pPr>
    <w:rPr>
      <w:b/>
      <w:kern w:val="28"/>
    </w:rPr>
  </w:style>
  <w:style w:type="paragraph" w:styleId="Kop2">
    <w:name w:val="heading 2"/>
    <w:basedOn w:val="Standaard"/>
    <w:next w:val="Standaard"/>
    <w:qFormat/>
    <w:rsid w:val="007E0572"/>
    <w:pPr>
      <w:keepNext/>
      <w:spacing w:before="240" w:after="60"/>
      <w:outlineLvl w:val="1"/>
    </w:pPr>
    <w:rPr>
      <w:i/>
    </w:rPr>
  </w:style>
  <w:style w:type="paragraph" w:styleId="Kop3">
    <w:name w:val="heading 3"/>
    <w:basedOn w:val="Standaard"/>
    <w:next w:val="Standaard"/>
    <w:qFormat/>
    <w:rsid w:val="007E0572"/>
    <w:pPr>
      <w:keepNext/>
      <w:spacing w:before="240" w:after="6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aliases w:val="Platte tekst1"/>
    <w:basedOn w:val="Standaard"/>
    <w:rsid w:val="007E0572"/>
  </w:style>
  <w:style w:type="paragraph" w:customStyle="1" w:styleId="Adressering">
    <w:name w:val="Adressering"/>
    <w:basedOn w:val="Standaard"/>
    <w:rsid w:val="007E0572"/>
  </w:style>
  <w:style w:type="paragraph" w:customStyle="1" w:styleId="PNB">
    <w:name w:val="PNB"/>
    <w:basedOn w:val="Standaard"/>
    <w:rsid w:val="007E0572"/>
    <w:rPr>
      <w:sz w:val="16"/>
    </w:rPr>
  </w:style>
  <w:style w:type="paragraph" w:customStyle="1" w:styleId="afdeling">
    <w:name w:val="afdeling"/>
    <w:basedOn w:val="PNB"/>
    <w:next w:val="Kop1"/>
    <w:rsid w:val="007E0572"/>
  </w:style>
  <w:style w:type="paragraph" w:styleId="Documentstructuur">
    <w:name w:val="Document Map"/>
    <w:basedOn w:val="Standaard"/>
    <w:semiHidden/>
    <w:rsid w:val="00EE29F3"/>
    <w:rPr>
      <w:rFonts w:ascii="Tahoma" w:hAnsi="Tahoma"/>
    </w:rPr>
  </w:style>
  <w:style w:type="paragraph" w:customStyle="1" w:styleId="Frame">
    <w:name w:val="Frame"/>
    <w:basedOn w:val="Standaard"/>
    <w:rsid w:val="007E0572"/>
    <w:pPr>
      <w:framePr w:w="2438" w:h="2268" w:hRule="exact" w:hSpace="142" w:vSpace="142" w:wrap="around" w:vAnchor="page" w:hAnchor="page" w:x="8903" w:y="568"/>
      <w:shd w:val="solid" w:color="FFFFFF" w:fill="FFFFFF"/>
    </w:pPr>
    <w:rPr>
      <w:sz w:val="16"/>
    </w:rPr>
  </w:style>
  <w:style w:type="paragraph" w:customStyle="1" w:styleId="Frame2">
    <w:name w:val="Frame2"/>
    <w:basedOn w:val="Standaard"/>
    <w:rsid w:val="007E0572"/>
    <w:pPr>
      <w:framePr w:w="2438" w:h="1018" w:hSpace="142" w:wrap="around" w:vAnchor="text" w:hAnchor="page" w:x="8903" w:y="7944"/>
      <w:shd w:val="solid" w:color="FFFFFF" w:fill="FFFFFF"/>
      <w:spacing w:line="240" w:lineRule="auto"/>
    </w:pPr>
    <w:rPr>
      <w:sz w:val="16"/>
    </w:rPr>
  </w:style>
  <w:style w:type="paragraph" w:customStyle="1" w:styleId="inhoudbrief">
    <w:name w:val="inhoud brief"/>
    <w:basedOn w:val="Standaard"/>
    <w:rsid w:val="007E0572"/>
  </w:style>
  <w:style w:type="paragraph" w:styleId="Koptekst">
    <w:name w:val="header"/>
    <w:basedOn w:val="Standaard"/>
    <w:rsid w:val="007E0572"/>
    <w:pPr>
      <w:tabs>
        <w:tab w:val="center" w:pos="4536"/>
        <w:tab w:val="right" w:pos="9072"/>
      </w:tabs>
    </w:pPr>
  </w:style>
  <w:style w:type="paragraph" w:customStyle="1" w:styleId="Onderwerp">
    <w:name w:val="Onderwerp"/>
    <w:basedOn w:val="Adressering"/>
    <w:rsid w:val="007E0572"/>
  </w:style>
  <w:style w:type="character" w:styleId="Paginanummer">
    <w:name w:val="page number"/>
    <w:uiPriority w:val="99"/>
    <w:rsid w:val="007E0572"/>
    <w:rPr>
      <w:rFonts w:ascii="Futura Book" w:hAnsi="Futura Book"/>
      <w:sz w:val="16"/>
    </w:rPr>
  </w:style>
  <w:style w:type="paragraph" w:customStyle="1" w:styleId="referentiekop">
    <w:name w:val="referentiekop"/>
    <w:basedOn w:val="Kop1"/>
    <w:uiPriority w:val="99"/>
    <w:rsid w:val="007E0572"/>
    <w:pPr>
      <w:spacing w:before="0" w:after="0"/>
    </w:pPr>
    <w:rPr>
      <w:kern w:val="0"/>
      <w:sz w:val="14"/>
    </w:rPr>
  </w:style>
  <w:style w:type="paragraph" w:styleId="Voettekst">
    <w:name w:val="footer"/>
    <w:basedOn w:val="Standaard"/>
    <w:link w:val="VoettekstChar"/>
    <w:uiPriority w:val="99"/>
    <w:rsid w:val="007E0572"/>
    <w:pPr>
      <w:tabs>
        <w:tab w:val="center" w:pos="4536"/>
        <w:tab w:val="right" w:pos="9072"/>
      </w:tabs>
    </w:pPr>
  </w:style>
  <w:style w:type="table" w:styleId="Tabelraster">
    <w:name w:val="Table Grid"/>
    <w:basedOn w:val="Standaardtabel"/>
    <w:rsid w:val="007E0572"/>
    <w:pPr>
      <w:tabs>
        <w:tab w:val="left" w:pos="-1701"/>
        <w:tab w:val="left" w:pos="-1134"/>
        <w:tab w:val="left" w:pos="-567"/>
        <w:tab w:val="left" w:pos="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9E2BD2"/>
    <w:rPr>
      <w:rFonts w:ascii="Futura Book" w:hAnsi="Futura Book"/>
    </w:rPr>
  </w:style>
  <w:style w:type="table" w:customStyle="1" w:styleId="Tabelraster1">
    <w:name w:val="Tabelraster1"/>
    <w:basedOn w:val="Standaardtabel"/>
    <w:next w:val="Tabelraster"/>
    <w:rsid w:val="009E2BD2"/>
    <w:pPr>
      <w:tabs>
        <w:tab w:val="left" w:pos="-1701"/>
        <w:tab w:val="left" w:pos="-1134"/>
        <w:tab w:val="left" w:pos="-567"/>
        <w:tab w:val="left" w:pos="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E3DCE"/>
    <w:rPr>
      <w:color w:val="0000FF" w:themeColor="hyperlink"/>
      <w:u w:val="single"/>
    </w:rPr>
  </w:style>
  <w:style w:type="character" w:styleId="GevolgdeHyperlink">
    <w:name w:val="FollowedHyperlink"/>
    <w:basedOn w:val="Standaardalinea-lettertype"/>
    <w:uiPriority w:val="99"/>
    <w:semiHidden/>
    <w:unhideWhenUsed/>
    <w:rsid w:val="0029202C"/>
    <w:rPr>
      <w:color w:val="800080" w:themeColor="followedHyperlink"/>
      <w:u w:val="single"/>
    </w:rPr>
  </w:style>
  <w:style w:type="paragraph" w:styleId="Voetnoottekst">
    <w:name w:val="footnote text"/>
    <w:basedOn w:val="Standaard"/>
    <w:link w:val="VoetnoottekstChar"/>
    <w:uiPriority w:val="99"/>
    <w:semiHidden/>
    <w:unhideWhenUsed/>
    <w:rsid w:val="001D6626"/>
    <w:pPr>
      <w:spacing w:line="240" w:lineRule="auto"/>
    </w:pPr>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semiHidden/>
    <w:rsid w:val="001D6626"/>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1D6626"/>
    <w:rPr>
      <w:vertAlign w:val="superscript"/>
    </w:rPr>
  </w:style>
  <w:style w:type="character" w:styleId="Verwijzingopmerking">
    <w:name w:val="annotation reference"/>
    <w:basedOn w:val="Standaardalinea-lettertype"/>
    <w:uiPriority w:val="99"/>
    <w:semiHidden/>
    <w:unhideWhenUsed/>
    <w:rsid w:val="00543DF7"/>
    <w:rPr>
      <w:sz w:val="16"/>
      <w:szCs w:val="16"/>
    </w:rPr>
  </w:style>
  <w:style w:type="paragraph" w:styleId="Tekstopmerking">
    <w:name w:val="annotation text"/>
    <w:basedOn w:val="Standaard"/>
    <w:link w:val="TekstopmerkingChar"/>
    <w:uiPriority w:val="99"/>
    <w:semiHidden/>
    <w:unhideWhenUsed/>
    <w:rsid w:val="00543DF7"/>
    <w:pPr>
      <w:spacing w:line="240" w:lineRule="auto"/>
    </w:pPr>
  </w:style>
  <w:style w:type="character" w:customStyle="1" w:styleId="TekstopmerkingChar">
    <w:name w:val="Tekst opmerking Char"/>
    <w:basedOn w:val="Standaardalinea-lettertype"/>
    <w:link w:val="Tekstopmerking"/>
    <w:uiPriority w:val="99"/>
    <w:semiHidden/>
    <w:rsid w:val="00543DF7"/>
    <w:rPr>
      <w:rFonts w:ascii="Futura Book" w:hAnsi="Futura Book"/>
    </w:rPr>
  </w:style>
  <w:style w:type="paragraph" w:styleId="Onderwerpvanopmerking">
    <w:name w:val="annotation subject"/>
    <w:basedOn w:val="Tekstopmerking"/>
    <w:next w:val="Tekstopmerking"/>
    <w:link w:val="OnderwerpvanopmerkingChar"/>
    <w:uiPriority w:val="99"/>
    <w:semiHidden/>
    <w:unhideWhenUsed/>
    <w:rsid w:val="00543DF7"/>
    <w:rPr>
      <w:b/>
      <w:bCs/>
    </w:rPr>
  </w:style>
  <w:style w:type="character" w:customStyle="1" w:styleId="OnderwerpvanopmerkingChar">
    <w:name w:val="Onderwerp van opmerking Char"/>
    <w:basedOn w:val="TekstopmerkingChar"/>
    <w:link w:val="Onderwerpvanopmerking"/>
    <w:uiPriority w:val="99"/>
    <w:semiHidden/>
    <w:rsid w:val="00543DF7"/>
    <w:rPr>
      <w:rFonts w:ascii="Futura Book" w:hAnsi="Futura Book"/>
      <w:b/>
      <w:bCs/>
    </w:rPr>
  </w:style>
  <w:style w:type="paragraph" w:styleId="Ballontekst">
    <w:name w:val="Balloon Text"/>
    <w:basedOn w:val="Standaard"/>
    <w:link w:val="BallontekstChar"/>
    <w:uiPriority w:val="99"/>
    <w:semiHidden/>
    <w:unhideWhenUsed/>
    <w:rsid w:val="00543DF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3DF7"/>
    <w:rPr>
      <w:rFonts w:ascii="Tahoma" w:hAnsi="Tahoma" w:cs="Tahoma"/>
      <w:sz w:val="16"/>
      <w:szCs w:val="16"/>
    </w:rPr>
  </w:style>
  <w:style w:type="paragraph" w:styleId="Lijstalinea">
    <w:name w:val="List Paragraph"/>
    <w:basedOn w:val="Standaard"/>
    <w:uiPriority w:val="34"/>
    <w:qFormat/>
    <w:rsid w:val="00CD24C9"/>
    <w:pPr>
      <w:ind w:left="720"/>
      <w:contextualSpacing/>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46735">
      <w:bodyDiv w:val="1"/>
      <w:marLeft w:val="0"/>
      <w:marRight w:val="0"/>
      <w:marTop w:val="0"/>
      <w:marBottom w:val="0"/>
      <w:divBdr>
        <w:top w:val="none" w:sz="0" w:space="0" w:color="auto"/>
        <w:left w:val="none" w:sz="0" w:space="0" w:color="auto"/>
        <w:bottom w:val="none" w:sz="0" w:space="0" w:color="auto"/>
        <w:right w:val="none" w:sz="0" w:space="0" w:color="auto"/>
      </w:divBdr>
    </w:div>
    <w:div w:id="560212982">
      <w:bodyDiv w:val="1"/>
      <w:marLeft w:val="0"/>
      <w:marRight w:val="0"/>
      <w:marTop w:val="0"/>
      <w:marBottom w:val="0"/>
      <w:divBdr>
        <w:top w:val="none" w:sz="0" w:space="0" w:color="auto"/>
        <w:left w:val="none" w:sz="0" w:space="0" w:color="auto"/>
        <w:bottom w:val="none" w:sz="0" w:space="0" w:color="auto"/>
        <w:right w:val="none" w:sz="0" w:space="0" w:color="auto"/>
      </w:divBdr>
    </w:div>
    <w:div w:id="613945100">
      <w:bodyDiv w:val="1"/>
      <w:marLeft w:val="0"/>
      <w:marRight w:val="0"/>
      <w:marTop w:val="0"/>
      <w:marBottom w:val="0"/>
      <w:divBdr>
        <w:top w:val="none" w:sz="0" w:space="0" w:color="auto"/>
        <w:left w:val="none" w:sz="0" w:space="0" w:color="auto"/>
        <w:bottom w:val="none" w:sz="0" w:space="0" w:color="auto"/>
        <w:right w:val="none" w:sz="0" w:space="0" w:color="auto"/>
      </w:divBdr>
      <w:divsChild>
        <w:div w:id="2074112663">
          <w:marLeft w:val="0"/>
          <w:marRight w:val="0"/>
          <w:marTop w:val="0"/>
          <w:marBottom w:val="0"/>
          <w:divBdr>
            <w:top w:val="none" w:sz="0" w:space="0" w:color="auto"/>
            <w:left w:val="none" w:sz="0" w:space="0" w:color="auto"/>
            <w:bottom w:val="none" w:sz="0" w:space="0" w:color="auto"/>
            <w:right w:val="none" w:sz="0" w:space="0" w:color="auto"/>
          </w:divBdr>
          <w:divsChild>
            <w:div w:id="1360424354">
              <w:marLeft w:val="0"/>
              <w:marRight w:val="0"/>
              <w:marTop w:val="0"/>
              <w:marBottom w:val="0"/>
              <w:divBdr>
                <w:top w:val="none" w:sz="0" w:space="0" w:color="auto"/>
                <w:left w:val="none" w:sz="0" w:space="0" w:color="auto"/>
                <w:bottom w:val="none" w:sz="0" w:space="0" w:color="auto"/>
                <w:right w:val="none" w:sz="0" w:space="0" w:color="auto"/>
              </w:divBdr>
              <w:divsChild>
                <w:div w:id="976035681">
                  <w:marLeft w:val="0"/>
                  <w:marRight w:val="0"/>
                  <w:marTop w:val="0"/>
                  <w:marBottom w:val="0"/>
                  <w:divBdr>
                    <w:top w:val="none" w:sz="0" w:space="0" w:color="auto"/>
                    <w:left w:val="none" w:sz="0" w:space="0" w:color="auto"/>
                    <w:bottom w:val="none" w:sz="0" w:space="0" w:color="auto"/>
                    <w:right w:val="none" w:sz="0" w:space="0" w:color="auto"/>
                  </w:divBdr>
                  <w:divsChild>
                    <w:div w:id="1747411823">
                      <w:marLeft w:val="4725"/>
                      <w:marRight w:val="4725"/>
                      <w:marTop w:val="0"/>
                      <w:marBottom w:val="0"/>
                      <w:divBdr>
                        <w:top w:val="none" w:sz="0" w:space="0" w:color="auto"/>
                        <w:left w:val="none" w:sz="0" w:space="0" w:color="auto"/>
                        <w:bottom w:val="none" w:sz="0" w:space="0" w:color="auto"/>
                        <w:right w:val="none" w:sz="0" w:space="0" w:color="auto"/>
                      </w:divBdr>
                      <w:divsChild>
                        <w:div w:id="1925916604">
                          <w:marLeft w:val="0"/>
                          <w:marRight w:val="0"/>
                          <w:marTop w:val="0"/>
                          <w:marBottom w:val="0"/>
                          <w:divBdr>
                            <w:top w:val="none" w:sz="0" w:space="0" w:color="auto"/>
                            <w:left w:val="none" w:sz="0" w:space="0" w:color="auto"/>
                            <w:bottom w:val="none" w:sz="0" w:space="0" w:color="auto"/>
                            <w:right w:val="none" w:sz="0" w:space="0" w:color="auto"/>
                          </w:divBdr>
                          <w:divsChild>
                            <w:div w:id="1709989637">
                              <w:marLeft w:val="0"/>
                              <w:marRight w:val="0"/>
                              <w:marTop w:val="0"/>
                              <w:marBottom w:val="0"/>
                              <w:divBdr>
                                <w:top w:val="none" w:sz="0" w:space="0" w:color="auto"/>
                                <w:left w:val="none" w:sz="0" w:space="0" w:color="auto"/>
                                <w:bottom w:val="none" w:sz="0" w:space="0" w:color="auto"/>
                                <w:right w:val="none" w:sz="0" w:space="0" w:color="auto"/>
                              </w:divBdr>
                              <w:divsChild>
                                <w:div w:id="1813710714">
                                  <w:marLeft w:val="0"/>
                                  <w:marRight w:val="0"/>
                                  <w:marTop w:val="0"/>
                                  <w:marBottom w:val="75"/>
                                  <w:divBdr>
                                    <w:top w:val="none" w:sz="0" w:space="0" w:color="auto"/>
                                    <w:left w:val="none" w:sz="0" w:space="0" w:color="auto"/>
                                    <w:bottom w:val="none" w:sz="0" w:space="0" w:color="auto"/>
                                    <w:right w:val="none" w:sz="0" w:space="0" w:color="auto"/>
                                  </w:divBdr>
                                  <w:divsChild>
                                    <w:div w:id="1203902488">
                                      <w:marLeft w:val="0"/>
                                      <w:marRight w:val="0"/>
                                      <w:marTop w:val="240"/>
                                      <w:marBottom w:val="240"/>
                                      <w:divBdr>
                                        <w:top w:val="none" w:sz="0" w:space="0" w:color="auto"/>
                                        <w:left w:val="none" w:sz="0" w:space="0" w:color="auto"/>
                                        <w:bottom w:val="none" w:sz="0" w:space="0" w:color="auto"/>
                                        <w:right w:val="none" w:sz="0" w:space="0" w:color="auto"/>
                                      </w:divBdr>
                                      <w:divsChild>
                                        <w:div w:id="1687828132">
                                          <w:marLeft w:val="0"/>
                                          <w:marRight w:val="0"/>
                                          <w:marTop w:val="0"/>
                                          <w:marBottom w:val="0"/>
                                          <w:divBdr>
                                            <w:top w:val="none" w:sz="0" w:space="0" w:color="auto"/>
                                            <w:left w:val="none" w:sz="0" w:space="0" w:color="auto"/>
                                            <w:bottom w:val="none" w:sz="0" w:space="0" w:color="auto"/>
                                            <w:right w:val="none" w:sz="0" w:space="0" w:color="auto"/>
                                          </w:divBdr>
                                          <w:divsChild>
                                            <w:div w:id="1393579290">
                                              <w:marLeft w:val="0"/>
                                              <w:marRight w:val="0"/>
                                              <w:marTop w:val="240"/>
                                              <w:marBottom w:val="240"/>
                                              <w:divBdr>
                                                <w:top w:val="none" w:sz="0" w:space="0" w:color="auto"/>
                                                <w:left w:val="none" w:sz="0" w:space="0" w:color="auto"/>
                                                <w:bottom w:val="none" w:sz="0" w:space="0" w:color="auto"/>
                                                <w:right w:val="none" w:sz="0" w:space="0" w:color="auto"/>
                                              </w:divBdr>
                                              <w:divsChild>
                                                <w:div w:id="2067415443">
                                                  <w:marLeft w:val="0"/>
                                                  <w:marRight w:val="0"/>
                                                  <w:marTop w:val="0"/>
                                                  <w:marBottom w:val="0"/>
                                                  <w:divBdr>
                                                    <w:top w:val="none" w:sz="0" w:space="0" w:color="auto"/>
                                                    <w:left w:val="none" w:sz="0" w:space="0" w:color="auto"/>
                                                    <w:bottom w:val="none" w:sz="0" w:space="0" w:color="auto"/>
                                                    <w:right w:val="none" w:sz="0" w:space="0" w:color="auto"/>
                                                  </w:divBdr>
                                                  <w:divsChild>
                                                    <w:div w:id="1306158397">
                                                      <w:marLeft w:val="0"/>
                                                      <w:marRight w:val="0"/>
                                                      <w:marTop w:val="0"/>
                                                      <w:marBottom w:val="0"/>
                                                      <w:divBdr>
                                                        <w:top w:val="none" w:sz="0" w:space="0" w:color="auto"/>
                                                        <w:left w:val="none" w:sz="0" w:space="0" w:color="auto"/>
                                                        <w:bottom w:val="none" w:sz="0" w:space="0" w:color="auto"/>
                                                        <w:right w:val="none" w:sz="0" w:space="0" w:color="auto"/>
                                                      </w:divBdr>
                                                      <w:divsChild>
                                                        <w:div w:id="17766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9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nl/url?sa=i&amp;rct=j&amp;q=&amp;esrc=s&amp;frm=1&amp;source=images&amp;cd=&amp;cad=rja&amp;uact=8&amp;ved=0CAcQjRw&amp;url=http://www.iwight.com/Council/OtherServices/Childrens-CAF/CAF-Best-Parctice-and-Tools&amp;ei=q8DtVMXiHMz_UpaSgMAN&amp;bvm=bv.86956481,d.d24&amp;psig=AFQjCNFNuS5BNKU0tJH3OfkkpRtcqDKDVQ&amp;ust=1424953894559892" TargetMode="External"/><Relationship Id="rId13" Type="http://schemas.openxmlformats.org/officeDocument/2006/relationships/hyperlink" Target="https://acvz.org/" TargetMode="External"/><Relationship Id="rId18" Type="http://schemas.openxmlformats.org/officeDocument/2006/relationships/hyperlink" Target="https://inbetweenplaces.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elastingdienst.nl/wps/wcm/connect/bldcontentnl/belastingdienst/prive/toeslagen/huurtoeslag/huurtoeslag-2018/voorwaarden-2018/bijzondere-situaties/groot-huishouden" TargetMode="External"/><Relationship Id="rId7" Type="http://schemas.openxmlformats.org/officeDocument/2006/relationships/endnotes" Target="endnotes.xml"/><Relationship Id="rId12" Type="http://schemas.openxmlformats.org/officeDocument/2006/relationships/hyperlink" Target="https://www.gemeentenvandetoekomst.nl/" TargetMode="External"/><Relationship Id="rId17" Type="http://schemas.openxmlformats.org/officeDocument/2006/relationships/hyperlink" Target="https://www.platform31.nl/nieuws/impressie-conferentie-flexwonen-in-zuid-hollan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lexwonen.nl/impressie-congres-flexwonen-in-zuid-holland-14-juni-2018/" TargetMode="External"/><Relationship Id="rId20" Type="http://schemas.openxmlformats.org/officeDocument/2006/relationships/hyperlink" Target="https://www.belastingdienst.nl/wps/wcm/connect/bldcontentnl/belastingdienst/prive/toeslagen/wijzigingen_doorgeven/welke_wijzigingen_moet_ik_doorgeven/wonen/ik_huur_een_duurdere_woning_vanwege_een_groot_huishou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form31.nl/wat-we-doen/kennisdossiers/kennisdossier-vergunninghouders-en-asie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vng.nl/ondersteuning-en-advies-asiel-otav" TargetMode="External"/><Relationship Id="rId23" Type="http://schemas.openxmlformats.org/officeDocument/2006/relationships/footer" Target="footer1.xml"/><Relationship Id="rId10" Type="http://schemas.openxmlformats.org/officeDocument/2006/relationships/hyperlink" Target="http://www.transformatieteam.nl/" TargetMode="External"/><Relationship Id="rId19" Type="http://schemas.openxmlformats.org/officeDocument/2006/relationships/hyperlink" Target="mailto:vincentwitlox@coa.n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platform31.nl/publicaties/de-magix-mix-de-update"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3ECA-2183-4F8D-97DE-CEF9821A8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1865</Words>
  <Characters>10261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High Concept</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RBLOE</dc:creator>
  <cp:lastModifiedBy>Malina Couvret</cp:lastModifiedBy>
  <cp:revision>2</cp:revision>
  <cp:lastPrinted>2015-02-25T12:33:00Z</cp:lastPrinted>
  <dcterms:created xsi:type="dcterms:W3CDTF">2020-02-24T11:10:00Z</dcterms:created>
  <dcterms:modified xsi:type="dcterms:W3CDTF">2020-02-24T11:10:00Z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Concept(blanco)</vt:lpwstr>
  </property>
  <property fmtid="{D5CDD505-2E9C-101B-9397-08002B2CF9AE}" pid="3" name="p2/1">
    <vt:lpwstr>Concept(blanco)</vt:lpwstr>
  </property>
</Properties>
</file>